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C9329E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2925AE">
        <w:rPr>
          <w:b/>
          <w:szCs w:val="28"/>
        </w:rPr>
        <w:t>4</w:t>
      </w:r>
      <w:r w:rsidR="009713EE">
        <w:rPr>
          <w:b/>
          <w:szCs w:val="28"/>
        </w:rPr>
        <w:t>.</w:t>
      </w:r>
      <w:r w:rsidR="00C9329E" w:rsidRPr="00C9329E">
        <w:rPr>
          <w:b/>
          <w:szCs w:val="28"/>
        </w:rPr>
        <w:t>1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3B60FA">
        <w:rPr>
          <w:szCs w:val="28"/>
        </w:rPr>
        <w:t>14</w:t>
      </w:r>
      <w:r w:rsidRPr="00F73465">
        <w:rPr>
          <w:szCs w:val="28"/>
        </w:rPr>
        <w:t>.</w:t>
      </w:r>
      <w:r w:rsidR="002925AE">
        <w:rPr>
          <w:szCs w:val="28"/>
        </w:rPr>
        <w:t>1</w:t>
      </w:r>
      <w:r w:rsidR="003B60FA">
        <w:rPr>
          <w:szCs w:val="28"/>
        </w:rPr>
        <w:t>2</w:t>
      </w:r>
      <w:r w:rsidR="00620C5F">
        <w:rPr>
          <w:szCs w:val="28"/>
        </w:rPr>
        <w:t>.202</w:t>
      </w:r>
      <w:r w:rsidR="00BF5E33">
        <w:rPr>
          <w:szCs w:val="28"/>
        </w:rPr>
        <w:t>2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E75232">
        <w:rPr>
          <w:szCs w:val="28"/>
        </w:rPr>
        <w:t>от 31 августа 2020 г. N ЕД-7-14/617@</w:t>
      </w:r>
      <w:r w:rsidR="00E75232" w:rsidRPr="00E75232">
        <w:rPr>
          <w:szCs w:val="28"/>
        </w:rPr>
        <w:t xml:space="preserve"> в редакци</w:t>
      </w:r>
      <w:r w:rsidR="00213686">
        <w:rPr>
          <w:szCs w:val="28"/>
        </w:rPr>
        <w:t>ях</w:t>
      </w:r>
      <w:r w:rsidR="00E75232" w:rsidRPr="00E75232">
        <w:rPr>
          <w:szCs w:val="28"/>
        </w:rPr>
        <w:t xml:space="preserve"> Приказа </w:t>
      </w:r>
      <w:r w:rsidR="00E75232">
        <w:rPr>
          <w:szCs w:val="28"/>
        </w:rPr>
        <w:t xml:space="preserve">ФНС </w:t>
      </w:r>
      <w:r w:rsidR="00E75232" w:rsidRPr="00E75232">
        <w:rPr>
          <w:szCs w:val="28"/>
        </w:rPr>
        <w:t>от 01.11.2021 № ЕД-7-14/948@</w:t>
      </w:r>
      <w:r w:rsidR="00213686">
        <w:rPr>
          <w:szCs w:val="28"/>
        </w:rPr>
        <w:t xml:space="preserve"> и Приказа ФНС от 15.08.2022 № ЕД-7-14/751</w:t>
      </w:r>
      <w:r w:rsidR="00213686" w:rsidRPr="00213686">
        <w:rPr>
          <w:szCs w:val="28"/>
        </w:rPr>
        <w:t>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860176" w:rsidRDefault="00860176" w:rsidP="008601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.0</w:t>
      </w:r>
      <w:r w:rsidRPr="001337B0">
        <w:rPr>
          <w:b/>
          <w:szCs w:val="28"/>
        </w:rPr>
        <w:t>:</w:t>
      </w:r>
    </w:p>
    <w:p w:rsidR="00860176" w:rsidRDefault="00860176" w:rsidP="00860176">
      <w:pPr>
        <w:jc w:val="both"/>
        <w:rPr>
          <w:b/>
          <w:szCs w:val="28"/>
        </w:rPr>
      </w:pPr>
    </w:p>
    <w:p w:rsidR="00860176" w:rsidRDefault="00860176" w:rsidP="00860176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Р18004 обновлены </w:t>
      </w:r>
      <w:proofErr w:type="spellStart"/>
      <w:r>
        <w:rPr>
          <w:sz w:val="28"/>
          <w:szCs w:val="28"/>
          <w:lang w:val="en-US"/>
        </w:rPr>
        <w:t>xsd</w:t>
      </w:r>
      <w:proofErr w:type="spellEnd"/>
      <w:r w:rsidRPr="00860176">
        <w:rPr>
          <w:sz w:val="28"/>
          <w:szCs w:val="28"/>
        </w:rPr>
        <w:t>-</w:t>
      </w:r>
      <w:r>
        <w:rPr>
          <w:sz w:val="28"/>
          <w:szCs w:val="28"/>
        </w:rPr>
        <w:t>схемы</w:t>
      </w:r>
      <w:r w:rsidRPr="00860176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Pr="00860176">
        <w:rPr>
          <w:sz w:val="28"/>
          <w:szCs w:val="28"/>
        </w:rPr>
        <w:t xml:space="preserve">лок "Сведения о лице, имеющем право без доверенности действовать от имени юридического лица" сделан необязательным. </w:t>
      </w:r>
      <w:r>
        <w:rPr>
          <w:sz w:val="28"/>
          <w:szCs w:val="28"/>
        </w:rPr>
        <w:t xml:space="preserve">Таким образом устранено ошибочное формирование файла </w:t>
      </w:r>
      <w:r>
        <w:rPr>
          <w:sz w:val="28"/>
          <w:szCs w:val="28"/>
          <w:lang w:val="en-US"/>
        </w:rPr>
        <w:t>PPDGR</w:t>
      </w:r>
      <w:r w:rsidRPr="0086017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Errors</w:t>
      </w:r>
      <w:r w:rsidRPr="0086017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log</w:t>
      </w:r>
      <w:r w:rsidRPr="0086017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случаях, когда ООО действует по типовому уставу, не предполагающем</w:t>
      </w:r>
      <w:r w:rsidR="00AA70FE">
        <w:rPr>
          <w:sz w:val="28"/>
          <w:szCs w:val="28"/>
        </w:rPr>
        <w:t>у</w:t>
      </w:r>
      <w:r>
        <w:rPr>
          <w:sz w:val="28"/>
          <w:szCs w:val="28"/>
        </w:rPr>
        <w:t xml:space="preserve"> заполнение листа Г</w:t>
      </w:r>
      <w:r w:rsidRPr="001023DB">
        <w:rPr>
          <w:sz w:val="28"/>
          <w:szCs w:val="28"/>
        </w:rPr>
        <w:t>.</w:t>
      </w:r>
    </w:p>
    <w:p w:rsidR="00860176" w:rsidRDefault="00AA70FE" w:rsidP="00860176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860176">
        <w:rPr>
          <w:sz w:val="28"/>
          <w:szCs w:val="28"/>
        </w:rPr>
        <w:t xml:space="preserve"> форме Р18004 в п.12 Титульного листа поле «Идентификационный код ЮЛ (при наличии)» сделано необязательным для заполнения.</w:t>
      </w:r>
    </w:p>
    <w:p w:rsidR="00D35BBF" w:rsidRDefault="00E7185A" w:rsidP="00860176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D35BBF" w:rsidRPr="00D35BB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bookmarkStart w:id="0" w:name="_GoBack"/>
      <w:bookmarkEnd w:id="0"/>
      <w:r w:rsidR="00D35BBF" w:rsidRPr="00D35BBF">
        <w:rPr>
          <w:sz w:val="28"/>
          <w:szCs w:val="28"/>
        </w:rPr>
        <w:t xml:space="preserve"> Р18003 и Р18004 добавлена проверка на то, чтобы сведения о наличии корпоративного договора (соответственно, п. 10 / п.11 Титульных листов форм Р18003 / Р18004) заполнялись только в отношении АО и ООО</w:t>
      </w:r>
      <w:r w:rsidR="006D747C">
        <w:rPr>
          <w:sz w:val="28"/>
          <w:szCs w:val="28"/>
        </w:rPr>
        <w:t>.</w:t>
      </w:r>
    </w:p>
    <w:p w:rsidR="00860176" w:rsidRDefault="0086017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925AE" w:rsidRDefault="002925AE" w:rsidP="002925A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2.3.0</w:t>
      </w:r>
      <w:r w:rsidRPr="001337B0">
        <w:rPr>
          <w:b/>
          <w:szCs w:val="28"/>
        </w:rPr>
        <w:t>:</w:t>
      </w:r>
    </w:p>
    <w:p w:rsidR="002925AE" w:rsidRDefault="002925AE" w:rsidP="002925AE">
      <w:pPr>
        <w:jc w:val="both"/>
        <w:rPr>
          <w:b/>
          <w:szCs w:val="28"/>
        </w:rPr>
      </w:pP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Реализованы новые формы Р18003 и Р18004. Формы в настоящее время имеют статус рекомендованных и могут использоваться без каких-либо </w:t>
      </w:r>
      <w:r>
        <w:rPr>
          <w:sz w:val="28"/>
          <w:szCs w:val="28"/>
        </w:rPr>
        <w:lastRenderedPageBreak/>
        <w:t xml:space="preserve">ограничений. В скором времени они будут утверждены Приказом. </w:t>
      </w:r>
      <w:r w:rsidR="001023DB" w:rsidRPr="001023DB">
        <w:rPr>
          <w:sz w:val="28"/>
          <w:szCs w:val="28"/>
        </w:rPr>
        <w:t>Заявления по указанным формам предназначены для приведения в соответствие с законодательством Российской Федерации учредительных документов юридического лица, которое имело в соответствии с его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Донецкой Народной Республики, Луганской Народной Республики, Херсонской области, Запорожской области на день принятия в Российскую Федерацию Донецкой Народной Республики, Луганской Народной Республики, Херсонской области, Запорожской области и образования в составе Российской Федерации новых субъектов.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некоторые проверки.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полях ФИО добавлена возможность использования символа косой черты (слеша).</w:t>
      </w:r>
    </w:p>
    <w:p w:rsidR="002925AE" w:rsidRDefault="002925AE" w:rsidP="009713EE">
      <w:pPr>
        <w:jc w:val="both"/>
        <w:rPr>
          <w:b/>
          <w:szCs w:val="28"/>
        </w:rPr>
      </w:pPr>
    </w:p>
    <w:p w:rsidR="009713EE" w:rsidRDefault="009713EE" w:rsidP="009713E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</w:t>
      </w:r>
      <w:r w:rsidR="00E8155A"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9713EE" w:rsidRDefault="009713EE" w:rsidP="009713EE">
      <w:pPr>
        <w:jc w:val="both"/>
        <w:rPr>
          <w:b/>
          <w:szCs w:val="28"/>
        </w:rPr>
      </w:pP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Реализована новая форма Р18002.</w:t>
      </w:r>
    </w:p>
    <w:p w:rsidR="004458A6" w:rsidRDefault="004458A6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шаблон печати для формы Р26001.</w:t>
      </w: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Р11001, Р12016 и Р18002 для пункта </w:t>
      </w:r>
      <w:r w:rsidRPr="00186D3C">
        <w:rPr>
          <w:sz w:val="28"/>
          <w:szCs w:val="28"/>
        </w:rPr>
        <w:t>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sz w:val="28"/>
          <w:szCs w:val="28"/>
        </w:rPr>
        <w:t xml:space="preserve"> добавлена проверка на наличие Листов участников (или их отсутствие для АО).</w:t>
      </w:r>
    </w:p>
    <w:p w:rsidR="006D494B" w:rsidRDefault="009713EE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Свидетельства о рождении в качестве документа, удостоверяющего личность, добавлена возможность указать место рождения. Поле сделано необязательным, т.к. иностранные граждане согласно Требованиям не должны его заполнять, а поле «Гражданство» присутствует не на всех листах.</w:t>
      </w:r>
    </w:p>
    <w:p w:rsidR="009713EE" w:rsidRPr="006D494B" w:rsidRDefault="006D494B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справочнике </w:t>
      </w:r>
      <w:r>
        <w:rPr>
          <w:sz w:val="28"/>
          <w:szCs w:val="28"/>
          <w:lang w:val="en-US"/>
        </w:rPr>
        <w:t>OKOPF</w:t>
      </w:r>
      <w:r w:rsidRPr="006D494B">
        <w:rPr>
          <w:sz w:val="28"/>
          <w:szCs w:val="28"/>
        </w:rPr>
        <w:t>12</w:t>
      </w:r>
      <w:r>
        <w:rPr>
          <w:sz w:val="28"/>
          <w:szCs w:val="28"/>
        </w:rPr>
        <w:t xml:space="preserve"> исправлена опечатка в наименовании ОПФ «</w:t>
      </w:r>
      <w:r w:rsidRPr="006D494B">
        <w:rPr>
          <w:sz w:val="28"/>
          <w:szCs w:val="28"/>
        </w:rPr>
        <w:t xml:space="preserve">Сельскохозяйственный потребительский </w:t>
      </w:r>
      <w:proofErr w:type="spellStart"/>
      <w:r w:rsidRPr="006D494B">
        <w:rPr>
          <w:sz w:val="28"/>
          <w:szCs w:val="28"/>
        </w:rPr>
        <w:t>сбытов</w:t>
      </w:r>
      <w:r>
        <w:rPr>
          <w:sz w:val="28"/>
          <w:szCs w:val="28"/>
        </w:rPr>
        <w:t>О</w:t>
      </w:r>
      <w:r w:rsidRPr="006D494B">
        <w:rPr>
          <w:sz w:val="28"/>
          <w:szCs w:val="28"/>
        </w:rPr>
        <w:t>й</w:t>
      </w:r>
      <w:proofErr w:type="spellEnd"/>
      <w:r w:rsidRPr="006D494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»</w:t>
      </w:r>
      <w:r w:rsidR="009713EE" w:rsidRPr="006D494B">
        <w:rPr>
          <w:sz w:val="28"/>
          <w:szCs w:val="28"/>
        </w:rPr>
        <w:t>.</w:t>
      </w:r>
    </w:p>
    <w:p w:rsidR="009713EE" w:rsidRDefault="009713EE" w:rsidP="009713EE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 xml:space="preserve"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</w:t>
      </w:r>
      <w:r w:rsidRPr="00695D01">
        <w:rPr>
          <w:sz w:val="28"/>
          <w:szCs w:val="28"/>
        </w:rPr>
        <w:lastRenderedPageBreak/>
        <w:t>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файле помощи актуализированы сведения о Приказах, на основании которых разработано ПО.</w:t>
      </w:r>
    </w:p>
    <w:p w:rsidR="00362CE0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</w:t>
      </w:r>
      <w:r w:rsidRPr="0011405E">
        <w:rPr>
          <w:sz w:val="28"/>
          <w:szCs w:val="28"/>
        </w:rPr>
        <w:lastRenderedPageBreak/>
        <w:t xml:space="preserve">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37A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E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A464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</w:num>
  <w:num w:numId="4">
    <w:abstractNumId w:val="4"/>
  </w:num>
  <w:num w:numId="5">
    <w:abstractNumId w:val="28"/>
  </w:num>
  <w:num w:numId="6">
    <w:abstractNumId w:val="24"/>
  </w:num>
  <w:num w:numId="7">
    <w:abstractNumId w:val="31"/>
  </w:num>
  <w:num w:numId="8">
    <w:abstractNumId w:val="20"/>
  </w:num>
  <w:num w:numId="9">
    <w:abstractNumId w:val="16"/>
  </w:num>
  <w:num w:numId="10">
    <w:abstractNumId w:val="22"/>
  </w:num>
  <w:num w:numId="11">
    <w:abstractNumId w:val="3"/>
  </w:num>
  <w:num w:numId="12">
    <w:abstractNumId w:val="15"/>
  </w:num>
  <w:num w:numId="13">
    <w:abstractNumId w:val="23"/>
  </w:num>
  <w:num w:numId="14">
    <w:abstractNumId w:val="21"/>
  </w:num>
  <w:num w:numId="15">
    <w:abstractNumId w:val="6"/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19"/>
  </w:num>
  <w:num w:numId="22">
    <w:abstractNumId w:val="5"/>
  </w:num>
  <w:num w:numId="23">
    <w:abstractNumId w:val="29"/>
  </w:num>
  <w:num w:numId="24">
    <w:abstractNumId w:val="9"/>
  </w:num>
  <w:num w:numId="25">
    <w:abstractNumId w:val="26"/>
  </w:num>
  <w:num w:numId="26">
    <w:abstractNumId w:val="27"/>
  </w:num>
  <w:num w:numId="27">
    <w:abstractNumId w:val="32"/>
  </w:num>
  <w:num w:numId="28">
    <w:abstractNumId w:val="12"/>
  </w:num>
  <w:num w:numId="29">
    <w:abstractNumId w:val="17"/>
  </w:num>
  <w:num w:numId="30">
    <w:abstractNumId w:val="1"/>
  </w:num>
  <w:num w:numId="31">
    <w:abstractNumId w:val="0"/>
  </w:num>
  <w:num w:numId="32">
    <w:abstractNumId w:val="18"/>
  </w:num>
  <w:num w:numId="33">
    <w:abstractNumId w:val="7"/>
  </w:num>
  <w:num w:numId="3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23DB"/>
    <w:rsid w:val="00107C9D"/>
    <w:rsid w:val="00113ABC"/>
    <w:rsid w:val="0011405E"/>
    <w:rsid w:val="00115C79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6D3C"/>
    <w:rsid w:val="00187267"/>
    <w:rsid w:val="001A3F4B"/>
    <w:rsid w:val="001B6D27"/>
    <w:rsid w:val="001B7704"/>
    <w:rsid w:val="001C17B3"/>
    <w:rsid w:val="001C38B2"/>
    <w:rsid w:val="001D0E66"/>
    <w:rsid w:val="001D386A"/>
    <w:rsid w:val="001D5637"/>
    <w:rsid w:val="001D72F0"/>
    <w:rsid w:val="001E4016"/>
    <w:rsid w:val="001F54C6"/>
    <w:rsid w:val="001F7B30"/>
    <w:rsid w:val="00213686"/>
    <w:rsid w:val="00220B71"/>
    <w:rsid w:val="002436E6"/>
    <w:rsid w:val="002542A9"/>
    <w:rsid w:val="00265BF6"/>
    <w:rsid w:val="0027305E"/>
    <w:rsid w:val="002747A8"/>
    <w:rsid w:val="00276924"/>
    <w:rsid w:val="002822FD"/>
    <w:rsid w:val="002925AE"/>
    <w:rsid w:val="002B0230"/>
    <w:rsid w:val="002B0569"/>
    <w:rsid w:val="002B1782"/>
    <w:rsid w:val="002D2241"/>
    <w:rsid w:val="002D6960"/>
    <w:rsid w:val="002E604B"/>
    <w:rsid w:val="003107DC"/>
    <w:rsid w:val="00312123"/>
    <w:rsid w:val="00330019"/>
    <w:rsid w:val="003359FF"/>
    <w:rsid w:val="00335BAF"/>
    <w:rsid w:val="00337B96"/>
    <w:rsid w:val="00346C45"/>
    <w:rsid w:val="00350031"/>
    <w:rsid w:val="00352DD7"/>
    <w:rsid w:val="003602AE"/>
    <w:rsid w:val="00362CE0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B60FA"/>
    <w:rsid w:val="003C125F"/>
    <w:rsid w:val="003C2011"/>
    <w:rsid w:val="003D3515"/>
    <w:rsid w:val="003E66F8"/>
    <w:rsid w:val="003E76D4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58A6"/>
    <w:rsid w:val="0044607F"/>
    <w:rsid w:val="00447E11"/>
    <w:rsid w:val="00452542"/>
    <w:rsid w:val="004560FF"/>
    <w:rsid w:val="004606E6"/>
    <w:rsid w:val="00475E31"/>
    <w:rsid w:val="004762AE"/>
    <w:rsid w:val="00476535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95D01"/>
    <w:rsid w:val="006B0DA0"/>
    <w:rsid w:val="006B43F6"/>
    <w:rsid w:val="006D494B"/>
    <w:rsid w:val="006D747C"/>
    <w:rsid w:val="006E1BAF"/>
    <w:rsid w:val="006E5D65"/>
    <w:rsid w:val="007051CE"/>
    <w:rsid w:val="00710AE9"/>
    <w:rsid w:val="00712E38"/>
    <w:rsid w:val="007153AB"/>
    <w:rsid w:val="007155D5"/>
    <w:rsid w:val="00717591"/>
    <w:rsid w:val="00727D36"/>
    <w:rsid w:val="00736FF2"/>
    <w:rsid w:val="007410E2"/>
    <w:rsid w:val="00741105"/>
    <w:rsid w:val="00747FC3"/>
    <w:rsid w:val="00764ABE"/>
    <w:rsid w:val="007663A0"/>
    <w:rsid w:val="00772F2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0176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13EE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17E4"/>
    <w:rsid w:val="00A97027"/>
    <w:rsid w:val="00A9798F"/>
    <w:rsid w:val="00AA0D46"/>
    <w:rsid w:val="00AA70FE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329E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5BB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E6179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185A"/>
    <w:rsid w:val="00E75232"/>
    <w:rsid w:val="00E772D9"/>
    <w:rsid w:val="00E8155A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D10BF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7D83-89AA-44FD-9D68-2A7A1B54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72675</TotalTime>
  <Pages>11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20755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113</cp:revision>
  <dcterms:created xsi:type="dcterms:W3CDTF">2020-11-24T08:35:00Z</dcterms:created>
  <dcterms:modified xsi:type="dcterms:W3CDTF">2022-12-15T06:30:00Z</dcterms:modified>
</cp:coreProperties>
</file>