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2909B" w14:textId="77777777" w:rsidR="00363F7A" w:rsidRDefault="00363F7A" w:rsidP="008D0C7C">
      <w:pPr>
        <w:pStyle w:val="Default"/>
        <w:rPr>
          <w:sz w:val="28"/>
          <w:szCs w:val="28"/>
        </w:rPr>
      </w:pPr>
    </w:p>
    <w:p w14:paraId="2D94581F" w14:textId="416FE31E" w:rsidR="00D540D3" w:rsidRPr="00D540D3" w:rsidRDefault="003C37BA" w:rsidP="008D0C7C">
      <w:pPr>
        <w:pStyle w:val="Default"/>
        <w:rPr>
          <w:b/>
          <w:color w:val="FF0000"/>
        </w:rPr>
      </w:pPr>
      <w:r w:rsidRPr="00D540D3">
        <w:rPr>
          <w:b/>
          <w:sz w:val="28"/>
          <w:szCs w:val="28"/>
        </w:rPr>
        <w:t xml:space="preserve">                                                                                     </w:t>
      </w:r>
      <w:r w:rsidR="005E5A9F">
        <w:rPr>
          <w:b/>
          <w:sz w:val="28"/>
          <w:szCs w:val="28"/>
        </w:rPr>
        <w:t xml:space="preserve">                   </w:t>
      </w:r>
      <w:r w:rsidR="00D540D3" w:rsidRPr="00D540D3">
        <w:rPr>
          <w:b/>
          <w:color w:val="FF0000"/>
        </w:rPr>
        <w:t xml:space="preserve">Исходное </w:t>
      </w:r>
      <w:r w:rsidR="00D540D3" w:rsidRPr="005E5A9F">
        <w:rPr>
          <w:b/>
          <w:color w:val="FF0000"/>
        </w:rPr>
        <w:t>дополнение от</w:t>
      </w:r>
      <w:r w:rsidR="005E5A9F">
        <w:rPr>
          <w:b/>
          <w:color w:val="FF0000"/>
        </w:rPr>
        <w:t xml:space="preserve"> 18.06.2025</w:t>
      </w:r>
      <w:r w:rsidRPr="00D540D3">
        <w:rPr>
          <w:b/>
          <w:color w:val="FF0000"/>
        </w:rPr>
        <w:t xml:space="preserve"> </w:t>
      </w:r>
      <w:r w:rsidR="00D1577D" w:rsidRPr="00D540D3">
        <w:rPr>
          <w:b/>
          <w:color w:val="FF0000"/>
        </w:rPr>
        <w:t xml:space="preserve">               </w:t>
      </w:r>
    </w:p>
    <w:p w14:paraId="71D269D7" w14:textId="6942A4A8" w:rsidR="003C37BA" w:rsidRPr="00D540D3" w:rsidRDefault="00D540D3" w:rsidP="00D540D3">
      <w:pPr>
        <w:pStyle w:val="Default"/>
        <w:jc w:val="right"/>
        <w:rPr>
          <w:b/>
          <w:color w:val="FF0000"/>
        </w:rPr>
      </w:pPr>
      <w:r>
        <w:rPr>
          <w:b/>
          <w:color w:val="FF0000"/>
        </w:rPr>
        <w:t>Д</w:t>
      </w:r>
      <w:r w:rsidR="003C37BA" w:rsidRPr="00D540D3">
        <w:rPr>
          <w:b/>
          <w:color w:val="FF0000"/>
        </w:rPr>
        <w:t>ополнение</w:t>
      </w:r>
      <w:r w:rsidR="006846A2" w:rsidRPr="00D540D3">
        <w:rPr>
          <w:b/>
          <w:color w:val="FF0000"/>
        </w:rPr>
        <w:t xml:space="preserve"> </w:t>
      </w:r>
      <w:r w:rsidR="00AB0511" w:rsidRPr="00D540D3">
        <w:rPr>
          <w:b/>
          <w:color w:val="FF0000"/>
        </w:rPr>
        <w:t xml:space="preserve">от </w:t>
      </w:r>
      <w:r w:rsidR="002E7295" w:rsidRPr="00D540D3">
        <w:rPr>
          <w:b/>
          <w:color w:val="FF0000"/>
        </w:rPr>
        <w:t>21</w:t>
      </w:r>
      <w:r w:rsidR="00F72726" w:rsidRPr="00D540D3">
        <w:rPr>
          <w:b/>
          <w:color w:val="FF0000"/>
        </w:rPr>
        <w:t>.</w:t>
      </w:r>
      <w:bookmarkStart w:id="0" w:name="_GoBack"/>
      <w:bookmarkEnd w:id="0"/>
      <w:r w:rsidR="00F72726" w:rsidRPr="00D540D3">
        <w:rPr>
          <w:b/>
          <w:color w:val="FF0000"/>
        </w:rPr>
        <w:t>04.2026</w:t>
      </w:r>
      <w:r>
        <w:rPr>
          <w:b/>
          <w:color w:val="FF0000"/>
        </w:rPr>
        <w:t xml:space="preserve"> с пометкой «нов» </w:t>
      </w:r>
    </w:p>
    <w:p w14:paraId="13BA950D" w14:textId="77777777" w:rsidR="00D540D3" w:rsidRDefault="00D540D3" w:rsidP="00131E70">
      <w:pPr>
        <w:pStyle w:val="Default"/>
        <w:jc w:val="center"/>
        <w:rPr>
          <w:sz w:val="28"/>
          <w:szCs w:val="28"/>
        </w:rPr>
      </w:pPr>
    </w:p>
    <w:p w14:paraId="3B36AC8D" w14:textId="77777777" w:rsidR="00131E70" w:rsidRDefault="00131E70" w:rsidP="00131E70">
      <w:pPr>
        <w:pStyle w:val="Default"/>
        <w:jc w:val="center"/>
        <w:rPr>
          <w:sz w:val="28"/>
          <w:szCs w:val="28"/>
        </w:rPr>
      </w:pPr>
      <w:r w:rsidRPr="00131E70">
        <w:rPr>
          <w:sz w:val="28"/>
          <w:szCs w:val="28"/>
        </w:rPr>
        <w:t>ИСПОЛЬЗУЕМЫЕ СОКРАЩЕНИЯ И АББРЕВИАТУРЫ</w:t>
      </w:r>
    </w:p>
    <w:tbl>
      <w:tblPr>
        <w:tblStyle w:val="-31"/>
        <w:tblW w:w="10529" w:type="dxa"/>
        <w:tblLayout w:type="fixed"/>
        <w:tblLook w:val="0000" w:firstRow="0" w:lastRow="0" w:firstColumn="0" w:lastColumn="0" w:noHBand="0" w:noVBand="0"/>
      </w:tblPr>
      <w:tblGrid>
        <w:gridCol w:w="3114"/>
        <w:gridCol w:w="7415"/>
      </w:tblGrid>
      <w:tr w:rsidR="00EB4342" w:rsidRPr="00EB4342" w14:paraId="21E66A6F" w14:textId="77777777" w:rsidTr="00566D28">
        <w:trPr>
          <w:cnfStyle w:val="000000100000" w:firstRow="0" w:lastRow="0" w:firstColumn="0" w:lastColumn="0" w:oddVBand="0" w:evenVBand="0" w:oddHBand="1" w:evenHBand="0" w:firstRowFirstColumn="0" w:firstRowLastColumn="0" w:lastRowFirstColumn="0" w:lastRowLastColumn="0"/>
          <w:trHeight w:val="1511"/>
        </w:trPr>
        <w:tc>
          <w:tcPr>
            <w:cnfStyle w:val="000010000000" w:firstRow="0" w:lastRow="0" w:firstColumn="0" w:lastColumn="0" w:oddVBand="1" w:evenVBand="0" w:oddHBand="0" w:evenHBand="0" w:firstRowFirstColumn="0" w:firstRowLastColumn="0" w:lastRowFirstColumn="0" w:lastRowLastColumn="0"/>
            <w:tcW w:w="3114" w:type="dxa"/>
            <w:shd w:val="clear" w:color="auto" w:fill="DEEAF6" w:themeFill="accent1" w:themeFillTint="33"/>
            <w:vAlign w:val="center"/>
          </w:tcPr>
          <w:p w14:paraId="2F701F8C" w14:textId="77777777" w:rsidR="00EB4342" w:rsidRPr="00556BA8" w:rsidRDefault="00EB4342" w:rsidP="00A9776D">
            <w:pPr>
              <w:pStyle w:val="Default"/>
              <w:jc w:val="center"/>
            </w:pPr>
            <w:r w:rsidRPr="00556BA8">
              <w:rPr>
                <w:b/>
                <w:bCs/>
              </w:rPr>
              <w:t>173-ФЗ</w:t>
            </w:r>
          </w:p>
        </w:tc>
        <w:tc>
          <w:tcPr>
            <w:tcW w:w="7415" w:type="dxa"/>
            <w:tcBorders>
              <w:right w:val="single" w:sz="4" w:space="0" w:color="5B9BD5" w:themeColor="accent1"/>
            </w:tcBorders>
            <w:shd w:val="clear" w:color="auto" w:fill="DEEAF6" w:themeFill="accent1" w:themeFillTint="33"/>
            <w:vAlign w:val="center"/>
          </w:tcPr>
          <w:p w14:paraId="7B77117A" w14:textId="77777777" w:rsidR="00EB4342" w:rsidRPr="00556BA8" w:rsidRDefault="00EB4342" w:rsidP="00A9776D">
            <w:pPr>
              <w:pStyle w:val="Default"/>
              <w:jc w:val="both"/>
              <w:cnfStyle w:val="000000100000" w:firstRow="0" w:lastRow="0" w:firstColumn="0" w:lastColumn="0" w:oddVBand="0" w:evenVBand="0" w:oddHBand="1" w:evenHBand="0" w:firstRowFirstColumn="0" w:firstRowLastColumn="0" w:lastRowFirstColumn="0" w:lastRowLastColumn="0"/>
            </w:pPr>
            <w:r w:rsidRPr="00556BA8">
              <w:t xml:space="preserve">Федеральный закон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от 28.06.2014 № 173-ФЗ </w:t>
            </w:r>
          </w:p>
        </w:tc>
      </w:tr>
      <w:tr w:rsidR="00EB4342" w:rsidRPr="00EB4342" w14:paraId="37184319" w14:textId="77777777" w:rsidTr="00566D28">
        <w:trPr>
          <w:trHeight w:val="786"/>
        </w:trPr>
        <w:tc>
          <w:tcPr>
            <w:cnfStyle w:val="000010000000" w:firstRow="0" w:lastRow="0" w:firstColumn="0" w:lastColumn="0" w:oddVBand="1" w:evenVBand="0" w:oddHBand="0" w:evenHBand="0" w:firstRowFirstColumn="0" w:firstRowLastColumn="0" w:lastRowFirstColumn="0" w:lastRowLastColumn="0"/>
            <w:tcW w:w="3114" w:type="dxa"/>
            <w:vAlign w:val="center"/>
          </w:tcPr>
          <w:p w14:paraId="1F8DFA92" w14:textId="77777777" w:rsidR="00EB4342" w:rsidRPr="00556BA8" w:rsidRDefault="00EB4342" w:rsidP="00A9776D">
            <w:pPr>
              <w:pStyle w:val="Default"/>
              <w:jc w:val="center"/>
            </w:pPr>
            <w:r w:rsidRPr="00556BA8">
              <w:rPr>
                <w:b/>
                <w:bCs/>
              </w:rPr>
              <w:t>115-ФЗ</w:t>
            </w:r>
          </w:p>
        </w:tc>
        <w:tc>
          <w:tcPr>
            <w:tcW w:w="7415" w:type="dxa"/>
            <w:tcBorders>
              <w:right w:val="single" w:sz="4" w:space="0" w:color="5B9BD5" w:themeColor="accent1"/>
            </w:tcBorders>
            <w:vAlign w:val="center"/>
          </w:tcPr>
          <w:p w14:paraId="24D26924" w14:textId="77777777" w:rsidR="00EB4342" w:rsidRPr="00556BA8" w:rsidRDefault="00EB4342" w:rsidP="00A9776D">
            <w:pPr>
              <w:pStyle w:val="Default"/>
              <w:jc w:val="both"/>
              <w:cnfStyle w:val="000000000000" w:firstRow="0" w:lastRow="0" w:firstColumn="0" w:lastColumn="0" w:oddVBand="0" w:evenVBand="0" w:oddHBand="0" w:evenHBand="0" w:firstRowFirstColumn="0" w:firstRowLastColumn="0" w:lastRowFirstColumn="0" w:lastRowLastColumn="0"/>
            </w:pPr>
            <w:r w:rsidRPr="00556BA8">
              <w:t xml:space="preserve">Федеральный закон «О противодействии легализации (отмыванию) доходов, полученных преступным путем, и финансированию терроризма» от 07.08.2001 № 115-ФЗ </w:t>
            </w:r>
          </w:p>
        </w:tc>
      </w:tr>
      <w:tr w:rsidR="00EB4342" w:rsidRPr="00EB4342" w14:paraId="31D68E61" w14:textId="77777777" w:rsidTr="00566D28">
        <w:trPr>
          <w:cnfStyle w:val="000000100000" w:firstRow="0" w:lastRow="0" w:firstColumn="0" w:lastColumn="0" w:oddVBand="0" w:evenVBand="0" w:oddHBand="1" w:evenHBand="0" w:firstRowFirstColumn="0" w:firstRowLastColumn="0" w:lastRowFirstColumn="0" w:lastRowLastColumn="0"/>
          <w:trHeight w:val="1211"/>
        </w:trPr>
        <w:tc>
          <w:tcPr>
            <w:cnfStyle w:val="000010000000" w:firstRow="0" w:lastRow="0" w:firstColumn="0" w:lastColumn="0" w:oddVBand="1" w:evenVBand="0" w:oddHBand="0" w:evenHBand="0" w:firstRowFirstColumn="0" w:firstRowLastColumn="0" w:lastRowFirstColumn="0" w:lastRowLastColumn="0"/>
            <w:tcW w:w="3114" w:type="dxa"/>
            <w:shd w:val="clear" w:color="auto" w:fill="DEEAF6" w:themeFill="accent1" w:themeFillTint="33"/>
            <w:vAlign w:val="center"/>
          </w:tcPr>
          <w:p w14:paraId="38D2F8B0" w14:textId="77777777" w:rsidR="00EB4342" w:rsidRPr="00556BA8" w:rsidRDefault="00EB4342" w:rsidP="00A9776D">
            <w:pPr>
              <w:pStyle w:val="Default"/>
              <w:jc w:val="center"/>
            </w:pPr>
            <w:r w:rsidRPr="00556BA8">
              <w:rPr>
                <w:b/>
                <w:bCs/>
              </w:rPr>
              <w:t>340-ФЗ</w:t>
            </w:r>
          </w:p>
        </w:tc>
        <w:tc>
          <w:tcPr>
            <w:tcW w:w="7415" w:type="dxa"/>
            <w:tcBorders>
              <w:right w:val="single" w:sz="4" w:space="0" w:color="5B9BD5" w:themeColor="accent1"/>
            </w:tcBorders>
            <w:shd w:val="clear" w:color="auto" w:fill="DEEAF6" w:themeFill="accent1" w:themeFillTint="33"/>
            <w:vAlign w:val="center"/>
          </w:tcPr>
          <w:p w14:paraId="109B5347" w14:textId="77777777" w:rsidR="00EB4342" w:rsidRPr="00556BA8" w:rsidRDefault="00EB4342" w:rsidP="00A9776D">
            <w:pPr>
              <w:pStyle w:val="Default"/>
              <w:jc w:val="both"/>
              <w:cnfStyle w:val="000000100000" w:firstRow="0" w:lastRow="0" w:firstColumn="0" w:lastColumn="0" w:oddVBand="0" w:evenVBand="0" w:oddHBand="1" w:evenHBand="0" w:firstRowFirstColumn="0" w:firstRowLastColumn="0" w:lastRowFirstColumn="0" w:lastRowLastColumn="0"/>
            </w:pPr>
            <w:r w:rsidRPr="00556BA8">
              <w:t xml:space="preserve">Федеральный закон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от 27.11.2017 № 340-ФЗ </w:t>
            </w:r>
          </w:p>
        </w:tc>
      </w:tr>
      <w:tr w:rsidR="00EB4342" w:rsidRPr="00EB4342" w14:paraId="75F9F68A" w14:textId="77777777" w:rsidTr="00D1577D">
        <w:trPr>
          <w:trHeight w:val="303"/>
        </w:trPr>
        <w:tc>
          <w:tcPr>
            <w:cnfStyle w:val="000010000000" w:firstRow="0" w:lastRow="0" w:firstColumn="0" w:lastColumn="0" w:oddVBand="1" w:evenVBand="0" w:oddHBand="0" w:evenHBand="0" w:firstRowFirstColumn="0" w:firstRowLastColumn="0" w:lastRowFirstColumn="0" w:lastRowLastColumn="0"/>
            <w:tcW w:w="3114" w:type="dxa"/>
            <w:vAlign w:val="center"/>
          </w:tcPr>
          <w:p w14:paraId="0F20F2F0" w14:textId="77777777" w:rsidR="00EB4342" w:rsidRPr="00556BA8" w:rsidRDefault="00EB4342" w:rsidP="00A9776D">
            <w:pPr>
              <w:pStyle w:val="Default"/>
              <w:contextualSpacing/>
              <w:jc w:val="center"/>
            </w:pPr>
            <w:r w:rsidRPr="00556BA8">
              <w:rPr>
                <w:b/>
                <w:bCs/>
              </w:rPr>
              <w:t>Гражданский кодекс</w:t>
            </w:r>
          </w:p>
        </w:tc>
        <w:tc>
          <w:tcPr>
            <w:tcW w:w="7415" w:type="dxa"/>
            <w:tcBorders>
              <w:right w:val="single" w:sz="4" w:space="0" w:color="5B9BD5" w:themeColor="accent1"/>
            </w:tcBorders>
            <w:vAlign w:val="center"/>
          </w:tcPr>
          <w:p w14:paraId="7E14908A" w14:textId="77777777" w:rsidR="00EB4342" w:rsidRPr="00556BA8" w:rsidRDefault="00EB4342" w:rsidP="00A9776D">
            <w:pPr>
              <w:pStyle w:val="Default"/>
              <w:contextualSpacing/>
              <w:jc w:val="both"/>
              <w:cnfStyle w:val="000000000000" w:firstRow="0" w:lastRow="0" w:firstColumn="0" w:lastColumn="0" w:oddVBand="0" w:evenVBand="0" w:oddHBand="0" w:evenHBand="0" w:firstRowFirstColumn="0" w:firstRowLastColumn="0" w:lastRowFirstColumn="0" w:lastRowLastColumn="0"/>
            </w:pPr>
            <w:r w:rsidRPr="00556BA8">
              <w:t>Гражданский кодекс Российской Федерации</w:t>
            </w:r>
          </w:p>
        </w:tc>
      </w:tr>
      <w:tr w:rsidR="00EB4342" w:rsidRPr="00EB4342" w14:paraId="32ED17F4" w14:textId="77777777" w:rsidTr="00CD1AD4">
        <w:trPr>
          <w:cnfStyle w:val="000000100000" w:firstRow="0" w:lastRow="0" w:firstColumn="0" w:lastColumn="0" w:oddVBand="0" w:evenVBand="0" w:oddHBand="1" w:evenHBand="0" w:firstRowFirstColumn="0" w:firstRowLastColumn="0" w:lastRowFirstColumn="0" w:lastRowLastColumn="0"/>
          <w:trHeight w:val="587"/>
        </w:trPr>
        <w:tc>
          <w:tcPr>
            <w:cnfStyle w:val="000010000000" w:firstRow="0" w:lastRow="0" w:firstColumn="0" w:lastColumn="0" w:oddVBand="1" w:evenVBand="0" w:oddHBand="0" w:evenHBand="0" w:firstRowFirstColumn="0" w:firstRowLastColumn="0" w:lastRowFirstColumn="0" w:lastRowLastColumn="0"/>
            <w:tcW w:w="3114" w:type="dxa"/>
            <w:shd w:val="clear" w:color="auto" w:fill="DEEAF6" w:themeFill="accent1" w:themeFillTint="33"/>
            <w:vAlign w:val="center"/>
          </w:tcPr>
          <w:p w14:paraId="11740871" w14:textId="77777777" w:rsidR="00EB4342" w:rsidRPr="00556BA8" w:rsidRDefault="00EB4342" w:rsidP="00A9776D">
            <w:pPr>
              <w:pStyle w:val="Default"/>
              <w:jc w:val="center"/>
            </w:pPr>
            <w:r w:rsidRPr="00556BA8">
              <w:rPr>
                <w:b/>
                <w:bCs/>
              </w:rPr>
              <w:t>Незадокументированный договор</w:t>
            </w:r>
          </w:p>
        </w:tc>
        <w:tc>
          <w:tcPr>
            <w:tcW w:w="7415" w:type="dxa"/>
            <w:tcBorders>
              <w:right w:val="single" w:sz="4" w:space="0" w:color="5B9BD5" w:themeColor="accent1"/>
            </w:tcBorders>
            <w:shd w:val="clear" w:color="auto" w:fill="DEEAF6" w:themeFill="accent1" w:themeFillTint="33"/>
            <w:vAlign w:val="center"/>
          </w:tcPr>
          <w:p w14:paraId="2B7497B7" w14:textId="77777777" w:rsidR="00EB4342" w:rsidRPr="00556BA8" w:rsidRDefault="00EB4342" w:rsidP="00A9776D">
            <w:pPr>
              <w:pStyle w:val="Default"/>
              <w:jc w:val="both"/>
              <w:cnfStyle w:val="000000100000" w:firstRow="0" w:lastRow="0" w:firstColumn="0" w:lastColumn="0" w:oddVBand="0" w:evenVBand="0" w:oddHBand="1" w:evenHBand="0" w:firstRowFirstColumn="0" w:firstRowLastColumn="0" w:lastRowFirstColumn="0" w:lastRowLastColumn="0"/>
            </w:pPr>
            <w:r w:rsidRPr="00556BA8">
              <w:t xml:space="preserve">Договор, в отношении которого отсутствует возможность получения финансовой информации, в соответствии с пунктом 20 Положения </w:t>
            </w:r>
          </w:p>
        </w:tc>
      </w:tr>
      <w:tr w:rsidR="00EB4342" w:rsidRPr="00EB4342" w14:paraId="4929C8DB" w14:textId="77777777" w:rsidTr="00566D28">
        <w:trPr>
          <w:trHeight w:val="287"/>
        </w:trPr>
        <w:tc>
          <w:tcPr>
            <w:cnfStyle w:val="000010000000" w:firstRow="0" w:lastRow="0" w:firstColumn="0" w:lastColumn="0" w:oddVBand="1" w:evenVBand="0" w:oddHBand="0" w:evenHBand="0" w:firstRowFirstColumn="0" w:firstRowLastColumn="0" w:lastRowFirstColumn="0" w:lastRowLastColumn="0"/>
            <w:tcW w:w="3114" w:type="dxa"/>
            <w:vAlign w:val="center"/>
          </w:tcPr>
          <w:p w14:paraId="4CBCC8A0" w14:textId="77777777" w:rsidR="00EB4342" w:rsidRPr="00556BA8" w:rsidRDefault="00EB4342" w:rsidP="00A9776D">
            <w:pPr>
              <w:pStyle w:val="Default"/>
              <w:jc w:val="center"/>
            </w:pPr>
            <w:r w:rsidRPr="00556BA8">
              <w:rPr>
                <w:b/>
                <w:bCs/>
              </w:rPr>
              <w:t>Кодекс</w:t>
            </w:r>
          </w:p>
        </w:tc>
        <w:tc>
          <w:tcPr>
            <w:tcW w:w="7415" w:type="dxa"/>
            <w:tcBorders>
              <w:right w:val="single" w:sz="4" w:space="0" w:color="5B9BD5" w:themeColor="accent1"/>
            </w:tcBorders>
            <w:vAlign w:val="center"/>
          </w:tcPr>
          <w:p w14:paraId="01698BEE" w14:textId="77777777" w:rsidR="00EB4342" w:rsidRPr="00556BA8" w:rsidRDefault="00EB4342" w:rsidP="00A9776D">
            <w:pPr>
              <w:pStyle w:val="Default"/>
              <w:jc w:val="both"/>
              <w:cnfStyle w:val="000000000000" w:firstRow="0" w:lastRow="0" w:firstColumn="0" w:lastColumn="0" w:oddVBand="0" w:evenVBand="0" w:oddHBand="0" w:evenHBand="0" w:firstRowFirstColumn="0" w:firstRowLastColumn="0" w:lastRowFirstColumn="0" w:lastRowLastColumn="0"/>
            </w:pPr>
            <w:r w:rsidRPr="00556BA8">
              <w:t xml:space="preserve">Налоговый кодекс Российской Федерации </w:t>
            </w:r>
          </w:p>
        </w:tc>
      </w:tr>
      <w:tr w:rsidR="00EB4342" w:rsidRPr="00EB4342" w14:paraId="603DE228" w14:textId="77777777" w:rsidTr="00566D28">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3114" w:type="dxa"/>
            <w:shd w:val="clear" w:color="auto" w:fill="DEEAF6" w:themeFill="accent1" w:themeFillTint="33"/>
            <w:vAlign w:val="center"/>
          </w:tcPr>
          <w:p w14:paraId="630B5785" w14:textId="77777777" w:rsidR="00EB4342" w:rsidRPr="00556BA8" w:rsidRDefault="00EB4342" w:rsidP="00A9776D">
            <w:pPr>
              <w:pStyle w:val="Default"/>
              <w:jc w:val="center"/>
            </w:pPr>
            <w:r w:rsidRPr="00556BA8">
              <w:rPr>
                <w:b/>
                <w:bCs/>
              </w:rPr>
              <w:t>ОФР</w:t>
            </w:r>
          </w:p>
        </w:tc>
        <w:tc>
          <w:tcPr>
            <w:tcW w:w="7415" w:type="dxa"/>
            <w:tcBorders>
              <w:right w:val="single" w:sz="4" w:space="0" w:color="5B9BD5" w:themeColor="accent1"/>
            </w:tcBorders>
            <w:shd w:val="clear" w:color="auto" w:fill="DEEAF6" w:themeFill="accent1" w:themeFillTint="33"/>
            <w:vAlign w:val="center"/>
          </w:tcPr>
          <w:p w14:paraId="45296614" w14:textId="77777777" w:rsidR="00EB4342" w:rsidRPr="00556BA8" w:rsidRDefault="00EB4342" w:rsidP="00A9776D">
            <w:pPr>
              <w:pStyle w:val="Default"/>
              <w:jc w:val="both"/>
              <w:cnfStyle w:val="000000100000" w:firstRow="0" w:lastRow="0" w:firstColumn="0" w:lastColumn="0" w:oddVBand="0" w:evenVBand="0" w:oddHBand="1" w:evenHBand="0" w:firstRowFirstColumn="0" w:firstRowLastColumn="0" w:lastRowFirstColumn="0" w:lastRowLastColumn="0"/>
            </w:pPr>
            <w:r w:rsidRPr="00556BA8">
              <w:t xml:space="preserve">организация финансового рынка </w:t>
            </w:r>
          </w:p>
        </w:tc>
      </w:tr>
      <w:tr w:rsidR="00EB4342" w:rsidRPr="00EB4342" w14:paraId="798429BE" w14:textId="77777777" w:rsidTr="00566D28">
        <w:trPr>
          <w:trHeight w:val="1593"/>
        </w:trPr>
        <w:tc>
          <w:tcPr>
            <w:cnfStyle w:val="000010000000" w:firstRow="0" w:lastRow="0" w:firstColumn="0" w:lastColumn="0" w:oddVBand="1" w:evenVBand="0" w:oddHBand="0" w:evenHBand="0" w:firstRowFirstColumn="0" w:firstRowLastColumn="0" w:lastRowFirstColumn="0" w:lastRowLastColumn="0"/>
            <w:tcW w:w="3114" w:type="dxa"/>
            <w:vAlign w:val="center"/>
          </w:tcPr>
          <w:p w14:paraId="411A1104" w14:textId="77777777" w:rsidR="00EB4342" w:rsidRPr="00556BA8" w:rsidRDefault="00EB4342" w:rsidP="00A9776D">
            <w:pPr>
              <w:pStyle w:val="Default"/>
              <w:jc w:val="center"/>
            </w:pPr>
            <w:r w:rsidRPr="00556BA8">
              <w:rPr>
                <w:b/>
                <w:bCs/>
              </w:rPr>
              <w:t>Перечень исключенных договоров</w:t>
            </w:r>
          </w:p>
        </w:tc>
        <w:tc>
          <w:tcPr>
            <w:tcW w:w="7415" w:type="dxa"/>
            <w:tcBorders>
              <w:right w:val="single" w:sz="4" w:space="0" w:color="5B9BD5" w:themeColor="accent1"/>
            </w:tcBorders>
            <w:vAlign w:val="center"/>
          </w:tcPr>
          <w:p w14:paraId="200BA34B" w14:textId="77777777" w:rsidR="00EB4342" w:rsidRPr="00556BA8" w:rsidRDefault="00EB4342" w:rsidP="00A9776D">
            <w:pPr>
              <w:pStyle w:val="Default"/>
              <w:jc w:val="both"/>
              <w:cnfStyle w:val="000000000000" w:firstRow="0" w:lastRow="0" w:firstColumn="0" w:lastColumn="0" w:oddVBand="0" w:evenVBand="0" w:oddHBand="0" w:evenHBand="0" w:firstRowFirstColumn="0" w:firstRowLastColumn="0" w:lastRowFirstColumn="0" w:lastRowLastColumn="0"/>
            </w:pPr>
            <w:r w:rsidRPr="00556BA8">
              <w:t xml:space="preserve">Перечень видов договоров, предусматривающих оказание финансовых услуг, в отношении которых не применяются положения главы 20.1 Налогового кодекса Российской Федерации в силу низкого риска совершения с использованием таких договоров действий (бездействия), направленных на уклонение от уплаты налогов (сборов) </w:t>
            </w:r>
          </w:p>
        </w:tc>
      </w:tr>
      <w:tr w:rsidR="00EB4342" w:rsidRPr="00EB4342" w14:paraId="3754DF8F" w14:textId="77777777" w:rsidTr="00566D28">
        <w:trPr>
          <w:cnfStyle w:val="000000100000" w:firstRow="0" w:lastRow="0" w:firstColumn="0" w:lastColumn="0" w:oddVBand="0" w:evenVBand="0" w:oddHBand="1" w:evenHBand="0" w:firstRowFirstColumn="0" w:firstRowLastColumn="0" w:lastRowFirstColumn="0" w:lastRowLastColumn="0"/>
          <w:trHeight w:val="223"/>
        </w:trPr>
        <w:tc>
          <w:tcPr>
            <w:cnfStyle w:val="000010000000" w:firstRow="0" w:lastRow="0" w:firstColumn="0" w:lastColumn="0" w:oddVBand="1" w:evenVBand="0" w:oddHBand="0" w:evenHBand="0" w:firstRowFirstColumn="0" w:firstRowLastColumn="0" w:lastRowFirstColumn="0" w:lastRowLastColumn="0"/>
            <w:tcW w:w="3114" w:type="dxa"/>
            <w:shd w:val="clear" w:color="auto" w:fill="DEEAF6" w:themeFill="accent1" w:themeFillTint="33"/>
            <w:vAlign w:val="center"/>
          </w:tcPr>
          <w:p w14:paraId="5E425263" w14:textId="77777777" w:rsidR="00EB4342" w:rsidRPr="00556BA8" w:rsidRDefault="00EB4342" w:rsidP="00A9776D">
            <w:pPr>
              <w:pStyle w:val="Default"/>
              <w:jc w:val="center"/>
            </w:pPr>
            <w:r w:rsidRPr="00556BA8">
              <w:rPr>
                <w:b/>
                <w:bCs/>
              </w:rPr>
              <w:t>ПНФО</w:t>
            </w:r>
          </w:p>
        </w:tc>
        <w:tc>
          <w:tcPr>
            <w:tcW w:w="7415" w:type="dxa"/>
            <w:tcBorders>
              <w:right w:val="single" w:sz="4" w:space="0" w:color="5B9BD5" w:themeColor="accent1"/>
            </w:tcBorders>
            <w:shd w:val="clear" w:color="auto" w:fill="DEEAF6" w:themeFill="accent1" w:themeFillTint="33"/>
            <w:vAlign w:val="center"/>
          </w:tcPr>
          <w:p w14:paraId="315F7D40" w14:textId="77777777" w:rsidR="00EB4342" w:rsidRPr="00556BA8" w:rsidRDefault="00EB4342" w:rsidP="00A9776D">
            <w:pPr>
              <w:pStyle w:val="Default"/>
              <w:jc w:val="both"/>
              <w:cnfStyle w:val="000000100000" w:firstRow="0" w:lastRow="0" w:firstColumn="0" w:lastColumn="0" w:oddVBand="0" w:evenVBand="0" w:oddHBand="1" w:evenHBand="0" w:firstRowFirstColumn="0" w:firstRowLastColumn="0" w:lastRowFirstColumn="0" w:lastRowLastColumn="0"/>
            </w:pPr>
            <w:r w:rsidRPr="00556BA8">
              <w:t xml:space="preserve">пассивная нефинансовая организация </w:t>
            </w:r>
          </w:p>
        </w:tc>
      </w:tr>
      <w:tr w:rsidR="00EB4342" w:rsidRPr="00EB4342" w14:paraId="7AEF54D9" w14:textId="77777777" w:rsidTr="00D1577D">
        <w:trPr>
          <w:trHeight w:val="175"/>
        </w:trPr>
        <w:tc>
          <w:tcPr>
            <w:cnfStyle w:val="000010000000" w:firstRow="0" w:lastRow="0" w:firstColumn="0" w:lastColumn="0" w:oddVBand="1" w:evenVBand="0" w:oddHBand="0" w:evenHBand="0" w:firstRowFirstColumn="0" w:firstRowLastColumn="0" w:lastRowFirstColumn="0" w:lastRowLastColumn="0"/>
            <w:tcW w:w="3114" w:type="dxa"/>
            <w:vAlign w:val="center"/>
          </w:tcPr>
          <w:p w14:paraId="4E114C96" w14:textId="77777777" w:rsidR="00EB4342" w:rsidRPr="00556BA8" w:rsidRDefault="00EB4342" w:rsidP="00A9776D">
            <w:pPr>
              <w:pStyle w:val="Default"/>
              <w:jc w:val="center"/>
            </w:pPr>
            <w:r w:rsidRPr="00556BA8">
              <w:rPr>
                <w:b/>
                <w:bCs/>
              </w:rPr>
              <w:t>ПОД/ФТ</w:t>
            </w:r>
          </w:p>
        </w:tc>
        <w:tc>
          <w:tcPr>
            <w:tcW w:w="7415" w:type="dxa"/>
            <w:tcBorders>
              <w:right w:val="single" w:sz="4" w:space="0" w:color="5B9BD5" w:themeColor="accent1"/>
            </w:tcBorders>
            <w:vAlign w:val="center"/>
          </w:tcPr>
          <w:p w14:paraId="08B3F5F4" w14:textId="77777777" w:rsidR="00EB4342" w:rsidRPr="00556BA8" w:rsidRDefault="00EB4342" w:rsidP="00A9776D">
            <w:pPr>
              <w:pStyle w:val="Default"/>
              <w:jc w:val="both"/>
              <w:cnfStyle w:val="000000000000" w:firstRow="0" w:lastRow="0" w:firstColumn="0" w:lastColumn="0" w:oddVBand="0" w:evenVBand="0" w:oddHBand="0" w:evenHBand="0" w:firstRowFirstColumn="0" w:firstRowLastColumn="0" w:lastRowFirstColumn="0" w:lastRowLastColumn="0"/>
            </w:pPr>
            <w:r w:rsidRPr="00556BA8">
              <w:t xml:space="preserve">противодействие отмыванию денег и финансированию терроризма </w:t>
            </w:r>
          </w:p>
        </w:tc>
      </w:tr>
      <w:tr w:rsidR="00EB4342" w:rsidRPr="00EB4342" w14:paraId="3F2CCFC4" w14:textId="77777777" w:rsidTr="00CD1AD4">
        <w:trPr>
          <w:cnfStyle w:val="000000100000" w:firstRow="0" w:lastRow="0" w:firstColumn="0" w:lastColumn="0" w:oddVBand="0" w:evenVBand="0" w:oddHBand="1" w:evenHBand="0" w:firstRowFirstColumn="0" w:firstRowLastColumn="0" w:lastRowFirstColumn="0" w:lastRowLastColumn="0"/>
          <w:trHeight w:val="555"/>
        </w:trPr>
        <w:tc>
          <w:tcPr>
            <w:cnfStyle w:val="000010000000" w:firstRow="0" w:lastRow="0" w:firstColumn="0" w:lastColumn="0" w:oddVBand="1" w:evenVBand="0" w:oddHBand="0" w:evenHBand="0" w:firstRowFirstColumn="0" w:firstRowLastColumn="0" w:lastRowFirstColumn="0" w:lastRowLastColumn="0"/>
            <w:tcW w:w="3114" w:type="dxa"/>
            <w:shd w:val="clear" w:color="auto" w:fill="DEEAF6" w:themeFill="accent1" w:themeFillTint="33"/>
            <w:vAlign w:val="center"/>
          </w:tcPr>
          <w:p w14:paraId="4A970669" w14:textId="77777777" w:rsidR="00EB4342" w:rsidRPr="00556BA8" w:rsidRDefault="00EB4342" w:rsidP="00A9776D">
            <w:pPr>
              <w:pStyle w:val="Default"/>
              <w:jc w:val="center"/>
            </w:pPr>
            <w:r w:rsidRPr="00556BA8">
              <w:rPr>
                <w:b/>
                <w:bCs/>
              </w:rPr>
              <w:t>Положение</w:t>
            </w:r>
          </w:p>
        </w:tc>
        <w:tc>
          <w:tcPr>
            <w:tcW w:w="7415" w:type="dxa"/>
            <w:tcBorders>
              <w:right w:val="single" w:sz="4" w:space="0" w:color="5B9BD5" w:themeColor="accent1"/>
            </w:tcBorders>
            <w:shd w:val="clear" w:color="auto" w:fill="DEEAF6" w:themeFill="accent1" w:themeFillTint="33"/>
            <w:vAlign w:val="center"/>
          </w:tcPr>
          <w:p w14:paraId="1EDDD478" w14:textId="77777777" w:rsidR="00EB4342" w:rsidRPr="00556BA8" w:rsidRDefault="00EB4342" w:rsidP="00A9776D">
            <w:pPr>
              <w:pStyle w:val="Default"/>
              <w:jc w:val="both"/>
              <w:cnfStyle w:val="000000100000" w:firstRow="0" w:lastRow="0" w:firstColumn="0" w:lastColumn="0" w:oddVBand="0" w:evenVBand="0" w:oddHBand="1" w:evenHBand="0" w:firstRowFirstColumn="0" w:firstRowLastColumn="0" w:lastRowFirstColumn="0" w:lastRowLastColumn="0"/>
            </w:pPr>
            <w:r w:rsidRPr="00556BA8">
              <w:t xml:space="preserve">Положение, утвержденное абзацем 2 пункта 1 постановления Правительства Российской Федерации от 16.06.2018 № 693 </w:t>
            </w:r>
          </w:p>
        </w:tc>
      </w:tr>
      <w:tr w:rsidR="00EB4342" w:rsidRPr="00EB4342" w14:paraId="5CF4C89C" w14:textId="77777777" w:rsidTr="00D1577D">
        <w:trPr>
          <w:trHeight w:val="1126"/>
        </w:trPr>
        <w:tc>
          <w:tcPr>
            <w:cnfStyle w:val="000010000000" w:firstRow="0" w:lastRow="0" w:firstColumn="0" w:lastColumn="0" w:oddVBand="1" w:evenVBand="0" w:oddHBand="0" w:evenHBand="0" w:firstRowFirstColumn="0" w:firstRowLastColumn="0" w:lastRowFirstColumn="0" w:lastRowLastColumn="0"/>
            <w:tcW w:w="3114" w:type="dxa"/>
            <w:vAlign w:val="center"/>
          </w:tcPr>
          <w:p w14:paraId="352B79AE" w14:textId="77777777" w:rsidR="00EB4342" w:rsidRPr="00556BA8" w:rsidRDefault="00EB4342" w:rsidP="00A9776D">
            <w:pPr>
              <w:pStyle w:val="Default"/>
              <w:jc w:val="center"/>
            </w:pPr>
            <w:r w:rsidRPr="00556BA8">
              <w:rPr>
                <w:b/>
                <w:bCs/>
              </w:rPr>
              <w:t>Постановление</w:t>
            </w:r>
          </w:p>
        </w:tc>
        <w:tc>
          <w:tcPr>
            <w:tcW w:w="7415" w:type="dxa"/>
            <w:tcBorders>
              <w:right w:val="single" w:sz="4" w:space="0" w:color="5B9BD5" w:themeColor="accent1"/>
            </w:tcBorders>
            <w:vAlign w:val="center"/>
          </w:tcPr>
          <w:p w14:paraId="5FE7DC21" w14:textId="26892502" w:rsidR="00EB4342" w:rsidRPr="00556BA8" w:rsidRDefault="00ED0017" w:rsidP="00A9776D">
            <w:pPr>
              <w:pStyle w:val="Default"/>
              <w:jc w:val="both"/>
              <w:cnfStyle w:val="000000000000" w:firstRow="0" w:lastRow="0" w:firstColumn="0" w:lastColumn="0" w:oddVBand="0" w:evenVBand="0" w:oddHBand="0" w:evenHBand="0" w:firstRowFirstColumn="0" w:firstRowLastColumn="0" w:lastRowFirstColumn="0" w:lastRowLastColumn="0"/>
            </w:pPr>
            <w:r>
              <w:t>П</w:t>
            </w:r>
            <w:r w:rsidR="00EB4342" w:rsidRPr="00556BA8">
              <w:t xml:space="preserve">остановление Правительства Российской Федерации от 16.06.2018 № 693 «О реализации международного автоматического обмена финансовой информацией с компетентными органами иностранных государств (территорий)» </w:t>
            </w:r>
          </w:p>
        </w:tc>
      </w:tr>
      <w:tr w:rsidR="00EB4342" w:rsidRPr="00EB4342" w14:paraId="2D14A029" w14:textId="77777777" w:rsidTr="00566D28">
        <w:trPr>
          <w:cnfStyle w:val="000000100000" w:firstRow="0" w:lastRow="0" w:firstColumn="0" w:lastColumn="0" w:oddVBand="0" w:evenVBand="0" w:oddHBand="1" w:evenHBand="0" w:firstRowFirstColumn="0" w:firstRowLastColumn="0" w:lastRowFirstColumn="0" w:lastRowLastColumn="0"/>
          <w:trHeight w:val="966"/>
        </w:trPr>
        <w:tc>
          <w:tcPr>
            <w:cnfStyle w:val="000010000000" w:firstRow="0" w:lastRow="0" w:firstColumn="0" w:lastColumn="0" w:oddVBand="1" w:evenVBand="0" w:oddHBand="0" w:evenHBand="0" w:firstRowFirstColumn="0" w:firstRowLastColumn="0" w:lastRowFirstColumn="0" w:lastRowLastColumn="0"/>
            <w:tcW w:w="3114" w:type="dxa"/>
            <w:shd w:val="clear" w:color="auto" w:fill="DEEAF6" w:themeFill="accent1" w:themeFillTint="33"/>
            <w:vAlign w:val="center"/>
          </w:tcPr>
          <w:p w14:paraId="35C0F4B8" w14:textId="77777777" w:rsidR="00EB4342" w:rsidRPr="00556BA8" w:rsidRDefault="00EB4342" w:rsidP="00A9776D">
            <w:pPr>
              <w:pStyle w:val="Default"/>
              <w:jc w:val="center"/>
            </w:pPr>
            <w:r w:rsidRPr="00556BA8">
              <w:rPr>
                <w:b/>
                <w:bCs/>
              </w:rPr>
              <w:t>Рекомендации</w:t>
            </w:r>
          </w:p>
        </w:tc>
        <w:tc>
          <w:tcPr>
            <w:tcW w:w="7415" w:type="dxa"/>
            <w:tcBorders>
              <w:right w:val="single" w:sz="4" w:space="0" w:color="5B9BD5" w:themeColor="accent1"/>
            </w:tcBorders>
            <w:shd w:val="clear" w:color="auto" w:fill="DEEAF6" w:themeFill="accent1" w:themeFillTint="33"/>
            <w:vAlign w:val="center"/>
          </w:tcPr>
          <w:p w14:paraId="46790DD6" w14:textId="77777777" w:rsidR="00EB4342" w:rsidRPr="00556BA8" w:rsidRDefault="00EB4342" w:rsidP="00A9776D">
            <w:pPr>
              <w:pStyle w:val="Default"/>
              <w:jc w:val="both"/>
              <w:cnfStyle w:val="000000100000" w:firstRow="0" w:lastRow="0" w:firstColumn="0" w:lastColumn="0" w:oddVBand="0" w:evenVBand="0" w:oddHBand="1" w:evenHBand="0" w:firstRowFirstColumn="0" w:firstRowLastColumn="0" w:lastRowFirstColumn="0" w:lastRowLastColumn="0"/>
            </w:pPr>
            <w:r w:rsidRPr="00556BA8">
              <w:t>Рекомендации по заполнению электронных форматов представления организациями финансового рынка информации, предусмотренной положением, утвержденным постановлением Правительства Российской Федерации от 16.06.2018 № 693</w:t>
            </w:r>
            <w:r w:rsidR="00547007" w:rsidRPr="00556BA8">
              <w:rPr>
                <w:rStyle w:val="aa"/>
              </w:rPr>
              <w:footnoteReference w:id="1"/>
            </w:r>
            <w:r w:rsidRPr="00556BA8">
              <w:t xml:space="preserve"> </w:t>
            </w:r>
          </w:p>
        </w:tc>
      </w:tr>
      <w:tr w:rsidR="00EB4342" w:rsidRPr="00EB4342" w14:paraId="38615E8C" w14:textId="77777777" w:rsidTr="00566D28">
        <w:trPr>
          <w:trHeight w:val="689"/>
        </w:trPr>
        <w:tc>
          <w:tcPr>
            <w:cnfStyle w:val="000010000000" w:firstRow="0" w:lastRow="0" w:firstColumn="0" w:lastColumn="0" w:oddVBand="1" w:evenVBand="0" w:oddHBand="0" w:evenHBand="0" w:firstRowFirstColumn="0" w:firstRowLastColumn="0" w:lastRowFirstColumn="0" w:lastRowLastColumn="0"/>
            <w:tcW w:w="3114" w:type="dxa"/>
            <w:tcBorders>
              <w:bottom w:val="single" w:sz="4" w:space="0" w:color="auto"/>
            </w:tcBorders>
            <w:vAlign w:val="center"/>
          </w:tcPr>
          <w:p w14:paraId="0B51216F" w14:textId="3ADFAA73" w:rsidR="00EB4342" w:rsidRPr="00622B7C" w:rsidRDefault="00EB4342" w:rsidP="006846A2">
            <w:pPr>
              <w:pStyle w:val="Default"/>
              <w:jc w:val="center"/>
              <w:rPr>
                <w:color w:val="auto"/>
              </w:rPr>
            </w:pPr>
            <w:r w:rsidRPr="00622B7C">
              <w:rPr>
                <w:b/>
                <w:bCs/>
                <w:color w:val="auto"/>
              </w:rPr>
              <w:t>Формат</w:t>
            </w:r>
          </w:p>
        </w:tc>
        <w:tc>
          <w:tcPr>
            <w:tcW w:w="7415" w:type="dxa"/>
            <w:tcBorders>
              <w:bottom w:val="single" w:sz="4" w:space="0" w:color="auto"/>
              <w:right w:val="single" w:sz="4" w:space="0" w:color="5B9BD5" w:themeColor="accent1"/>
            </w:tcBorders>
            <w:vAlign w:val="center"/>
          </w:tcPr>
          <w:p w14:paraId="427C5F50" w14:textId="682CAAE8" w:rsidR="009E3ECE" w:rsidRPr="00622B7C" w:rsidRDefault="00EB4342" w:rsidP="003C581C">
            <w:pPr>
              <w:pStyle w:val="Default"/>
              <w:jc w:val="both"/>
              <w:cnfStyle w:val="000000000000" w:firstRow="0" w:lastRow="0" w:firstColumn="0" w:lastColumn="0" w:oddVBand="0" w:evenVBand="0" w:oddHBand="0" w:evenHBand="0" w:firstRowFirstColumn="0" w:firstRowLastColumn="0" w:lastRowFirstColumn="0" w:lastRowLastColumn="0"/>
              <w:rPr>
                <w:color w:val="auto"/>
              </w:rPr>
            </w:pPr>
            <w:r w:rsidRPr="00622B7C">
              <w:rPr>
                <w:color w:val="auto"/>
              </w:rPr>
              <w:t xml:space="preserve">Формат </w:t>
            </w:r>
            <w:r w:rsidR="009E3ECE" w:rsidRPr="009E3ECE">
              <w:rPr>
                <w:color w:val="auto"/>
              </w:rPr>
              <w:t xml:space="preserve">представления ОФР </w:t>
            </w:r>
            <w:r w:rsidR="003C581C">
              <w:rPr>
                <w:color w:val="auto"/>
              </w:rPr>
              <w:t xml:space="preserve">финансовой </w:t>
            </w:r>
            <w:r w:rsidR="009E3ECE" w:rsidRPr="009E3ECE">
              <w:rPr>
                <w:color w:val="auto"/>
              </w:rPr>
              <w:t xml:space="preserve">информации </w:t>
            </w:r>
            <w:r w:rsidR="003C581C" w:rsidRPr="003C581C">
              <w:rPr>
                <w:color w:val="auto"/>
              </w:rPr>
              <w:t>о клиентах,</w:t>
            </w:r>
            <w:r w:rsidR="003C581C">
              <w:rPr>
                <w:color w:val="auto"/>
              </w:rPr>
              <w:t xml:space="preserve"> </w:t>
            </w:r>
            <w:r w:rsidR="003C581C" w:rsidRPr="003C581C">
              <w:rPr>
                <w:color w:val="auto"/>
              </w:rPr>
              <w:t>выгодоприобретателях и (или) лицах, прямо или косвенно</w:t>
            </w:r>
            <w:r w:rsidR="003C581C">
              <w:rPr>
                <w:color w:val="auto"/>
              </w:rPr>
              <w:t xml:space="preserve"> </w:t>
            </w:r>
            <w:r w:rsidR="003C581C" w:rsidRPr="003C581C">
              <w:rPr>
                <w:color w:val="auto"/>
              </w:rPr>
              <w:t>их контролирующих,</w:t>
            </w:r>
            <w:r w:rsidR="009E3ECE" w:rsidRPr="009E3ECE">
              <w:rPr>
                <w:color w:val="auto"/>
              </w:rPr>
              <w:t xml:space="preserve"> - резидентов иностранных государств в уполномоченный орган в электронной форме</w:t>
            </w:r>
            <w:r w:rsidRPr="00622B7C">
              <w:rPr>
                <w:color w:val="auto"/>
              </w:rPr>
              <w:t xml:space="preserve">, разработка которых предусмотрена </w:t>
            </w:r>
            <w:r w:rsidR="003C581C">
              <w:rPr>
                <w:color w:val="auto"/>
              </w:rPr>
              <w:t xml:space="preserve">пунктом 2 </w:t>
            </w:r>
            <w:r w:rsidRPr="00622B7C">
              <w:rPr>
                <w:color w:val="auto"/>
              </w:rPr>
              <w:t>постановлен</w:t>
            </w:r>
            <w:r w:rsidR="003C581C">
              <w:rPr>
                <w:color w:val="auto"/>
              </w:rPr>
              <w:t>ия</w:t>
            </w:r>
            <w:r w:rsidRPr="00622B7C">
              <w:rPr>
                <w:color w:val="auto"/>
              </w:rPr>
              <w:t xml:space="preserve"> Правительства России от 16.06.2018 № 693</w:t>
            </w:r>
            <w:r w:rsidR="00EC6713" w:rsidRPr="00622B7C">
              <w:rPr>
                <w:rStyle w:val="aa"/>
                <w:color w:val="auto"/>
              </w:rPr>
              <w:footnoteReference w:id="2"/>
            </w:r>
            <w:r w:rsidRPr="00622B7C">
              <w:rPr>
                <w:color w:val="auto"/>
              </w:rPr>
              <w:t xml:space="preserve"> </w:t>
            </w:r>
          </w:p>
        </w:tc>
      </w:tr>
      <w:tr w:rsidR="00FF06EF" w:rsidRPr="00EB4342" w14:paraId="3830E1AF" w14:textId="77777777" w:rsidTr="00D1577D">
        <w:trPr>
          <w:cnfStyle w:val="000000100000" w:firstRow="0" w:lastRow="0" w:firstColumn="0" w:lastColumn="0" w:oddVBand="0" w:evenVBand="0" w:oddHBand="1" w:evenHBand="0" w:firstRowFirstColumn="0" w:firstRowLastColumn="0" w:lastRowFirstColumn="0" w:lastRowLastColumn="0"/>
          <w:trHeight w:val="623"/>
        </w:trPr>
        <w:tc>
          <w:tcPr>
            <w:cnfStyle w:val="000010000000" w:firstRow="0" w:lastRow="0" w:firstColumn="0" w:lastColumn="0" w:oddVBand="1"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tcPr>
          <w:p w14:paraId="0A74FC93" w14:textId="131D370F" w:rsidR="00FF06EF" w:rsidRPr="00622B7C" w:rsidRDefault="00FF06EF" w:rsidP="00A9776D">
            <w:pPr>
              <w:pStyle w:val="Default"/>
              <w:jc w:val="center"/>
              <w:rPr>
                <w:b/>
                <w:bCs/>
                <w:color w:val="auto"/>
              </w:rPr>
            </w:pPr>
            <w:r w:rsidRPr="00622B7C">
              <w:rPr>
                <w:b/>
                <w:bCs/>
                <w:color w:val="auto"/>
              </w:rPr>
              <w:t xml:space="preserve">Отчет, </w:t>
            </w:r>
            <w:r w:rsidR="009E3ECE">
              <w:rPr>
                <w:b/>
                <w:bCs/>
                <w:color w:val="auto"/>
              </w:rPr>
              <w:t xml:space="preserve">Отчетность, </w:t>
            </w:r>
            <w:r w:rsidR="006A615B">
              <w:rPr>
                <w:b/>
                <w:bCs/>
                <w:color w:val="auto"/>
              </w:rPr>
              <w:t xml:space="preserve">Отчет </w:t>
            </w:r>
            <w:r w:rsidR="006A615B">
              <w:rPr>
                <w:b/>
                <w:bCs/>
                <w:color w:val="auto"/>
                <w:lang w:val="en-US"/>
              </w:rPr>
              <w:t>CRS</w:t>
            </w:r>
            <w:r w:rsidR="006A615B" w:rsidRPr="006A615B">
              <w:rPr>
                <w:b/>
                <w:bCs/>
                <w:color w:val="auto"/>
              </w:rPr>
              <w:t xml:space="preserve">, </w:t>
            </w:r>
            <w:r w:rsidRPr="00622B7C">
              <w:rPr>
                <w:b/>
                <w:bCs/>
                <w:color w:val="auto"/>
              </w:rPr>
              <w:t>финансовая информация</w:t>
            </w:r>
          </w:p>
        </w:tc>
        <w:tc>
          <w:tcPr>
            <w:tcW w:w="7415" w:type="dxa"/>
            <w:tcBorders>
              <w:top w:val="single" w:sz="4" w:space="0" w:color="auto"/>
              <w:left w:val="single" w:sz="4" w:space="0" w:color="auto"/>
              <w:bottom w:val="single" w:sz="4" w:space="0" w:color="auto"/>
              <w:right w:val="single" w:sz="4" w:space="0" w:color="auto"/>
            </w:tcBorders>
            <w:vAlign w:val="center"/>
          </w:tcPr>
          <w:p w14:paraId="450A5377" w14:textId="0F4F5D53" w:rsidR="00FF06EF" w:rsidRPr="00622B7C" w:rsidRDefault="00FA4DD7" w:rsidP="003C581C">
            <w:pPr>
              <w:pStyle w:val="Default"/>
              <w:jc w:val="both"/>
              <w:cnfStyle w:val="000000100000" w:firstRow="0" w:lastRow="0" w:firstColumn="0" w:lastColumn="0" w:oddVBand="0" w:evenVBand="0" w:oddHBand="1" w:evenHBand="0" w:firstRowFirstColumn="0" w:firstRowLastColumn="0" w:lastRowFirstColumn="0" w:lastRowLastColumn="0"/>
              <w:rPr>
                <w:color w:val="auto"/>
              </w:rPr>
            </w:pPr>
            <w:r w:rsidRPr="00622B7C">
              <w:rPr>
                <w:color w:val="auto"/>
              </w:rPr>
              <w:t>XML файл</w:t>
            </w:r>
            <w:r w:rsidR="00F40B98" w:rsidRPr="00622B7C">
              <w:rPr>
                <w:color w:val="auto"/>
              </w:rPr>
              <w:t xml:space="preserve">, </w:t>
            </w:r>
            <w:r w:rsidR="003C581C">
              <w:rPr>
                <w:color w:val="auto"/>
              </w:rPr>
              <w:t xml:space="preserve">сформированный </w:t>
            </w:r>
            <w:r w:rsidR="00D540D3">
              <w:rPr>
                <w:color w:val="auto"/>
              </w:rPr>
              <w:t>согласно</w:t>
            </w:r>
            <w:r w:rsidR="00F40B98" w:rsidRPr="00622B7C">
              <w:rPr>
                <w:color w:val="auto"/>
              </w:rPr>
              <w:t xml:space="preserve"> установленному Формату,</w:t>
            </w:r>
            <w:r w:rsidRPr="00622B7C">
              <w:rPr>
                <w:color w:val="auto"/>
              </w:rPr>
              <w:t xml:space="preserve"> содержащий информацию</w:t>
            </w:r>
            <w:r w:rsidR="00F40B98" w:rsidRPr="00622B7C">
              <w:rPr>
                <w:color w:val="auto"/>
              </w:rPr>
              <w:t xml:space="preserve"> для представления в ФНС России</w:t>
            </w:r>
          </w:p>
        </w:tc>
      </w:tr>
      <w:tr w:rsidR="008A6BA9" w:rsidRPr="00EB4342" w14:paraId="5E6A0961" w14:textId="77777777" w:rsidTr="00D1577D">
        <w:trPr>
          <w:trHeight w:val="354"/>
        </w:trPr>
        <w:tc>
          <w:tcPr>
            <w:cnfStyle w:val="000010000000" w:firstRow="0" w:lastRow="0" w:firstColumn="0" w:lastColumn="0" w:oddVBand="1"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tcPr>
          <w:p w14:paraId="464ECE2A" w14:textId="77777777" w:rsidR="008A6BA9" w:rsidRPr="00622B7C" w:rsidRDefault="008A6BA9" w:rsidP="00A9776D">
            <w:pPr>
              <w:pStyle w:val="Default"/>
              <w:jc w:val="center"/>
              <w:rPr>
                <w:b/>
                <w:bCs/>
                <w:color w:val="auto"/>
              </w:rPr>
            </w:pPr>
            <w:r w:rsidRPr="00622B7C">
              <w:rPr>
                <w:b/>
                <w:bCs/>
                <w:color w:val="auto"/>
              </w:rPr>
              <w:t>Уполномоченный орган</w:t>
            </w:r>
          </w:p>
        </w:tc>
        <w:tc>
          <w:tcPr>
            <w:tcW w:w="7415" w:type="dxa"/>
            <w:tcBorders>
              <w:top w:val="single" w:sz="4" w:space="0" w:color="auto"/>
              <w:left w:val="single" w:sz="4" w:space="0" w:color="auto"/>
              <w:bottom w:val="single" w:sz="4" w:space="0" w:color="auto"/>
              <w:right w:val="single" w:sz="4" w:space="0" w:color="auto"/>
            </w:tcBorders>
            <w:vAlign w:val="center"/>
          </w:tcPr>
          <w:p w14:paraId="5848080F" w14:textId="77777777" w:rsidR="008A6BA9" w:rsidRPr="00622B7C" w:rsidRDefault="00375448" w:rsidP="00FA4DD7">
            <w:pPr>
              <w:pStyle w:val="Default"/>
              <w:jc w:val="both"/>
              <w:cnfStyle w:val="000000000000" w:firstRow="0" w:lastRow="0" w:firstColumn="0" w:lastColumn="0" w:oddVBand="0" w:evenVBand="0" w:oddHBand="0" w:evenHBand="0" w:firstRowFirstColumn="0" w:firstRowLastColumn="0" w:lastRowFirstColumn="0" w:lastRowLastColumn="0"/>
              <w:rPr>
                <w:color w:val="auto"/>
              </w:rPr>
            </w:pPr>
            <w:r w:rsidRPr="00622B7C">
              <w:rPr>
                <w:color w:val="auto"/>
              </w:rPr>
              <w:t>Федеральная налоговая служба</w:t>
            </w:r>
          </w:p>
        </w:tc>
      </w:tr>
    </w:tbl>
    <w:sdt>
      <w:sdtPr>
        <w:rPr>
          <w:rFonts w:asciiTheme="minorHAnsi" w:eastAsiaTheme="minorHAnsi" w:hAnsiTheme="minorHAnsi" w:cs="Calibri Light (Заголовки)"/>
          <w:b/>
          <w:bCs/>
          <w:color w:val="auto"/>
          <w:spacing w:val="-10"/>
          <w:sz w:val="22"/>
          <w:szCs w:val="22"/>
          <w:lang w:eastAsia="en-US"/>
        </w:rPr>
        <w:id w:val="-1276480756"/>
        <w:docPartObj>
          <w:docPartGallery w:val="Table of Contents"/>
          <w:docPartUnique/>
        </w:docPartObj>
      </w:sdtPr>
      <w:sdtEndPr>
        <w:rPr>
          <w:noProof/>
        </w:rPr>
      </w:sdtEndPr>
      <w:sdtContent>
        <w:p w14:paraId="31DEBE20" w14:textId="77777777" w:rsidR="00945B7B" w:rsidRDefault="00945B7B" w:rsidP="00E51E65">
          <w:pPr>
            <w:pStyle w:val="a7"/>
            <w:spacing w:afterLines="120" w:after="288" w:line="240" w:lineRule="auto"/>
            <w:rPr>
              <w:rFonts w:asciiTheme="minorHAnsi" w:eastAsiaTheme="minorHAnsi" w:hAnsiTheme="minorHAnsi" w:cs="Calibri Light (Заголовки)"/>
              <w:b/>
              <w:bCs/>
              <w:color w:val="auto"/>
              <w:spacing w:val="-10"/>
              <w:sz w:val="22"/>
              <w:szCs w:val="22"/>
              <w:lang w:eastAsia="en-US"/>
            </w:rPr>
          </w:pPr>
        </w:p>
        <w:p w14:paraId="24F6B797" w14:textId="5AB3E99F" w:rsidR="00E51E65" w:rsidRDefault="00E51E65" w:rsidP="00E51E65">
          <w:pPr>
            <w:pStyle w:val="a7"/>
            <w:spacing w:afterLines="120" w:after="288" w:line="240" w:lineRule="auto"/>
            <w:rPr>
              <w:rFonts w:ascii="Century Gothic" w:hAnsi="Century Gothic" w:cs="Calibri Light (Заголовки)"/>
              <w:spacing w:val="-10"/>
            </w:rPr>
          </w:pPr>
          <w:r w:rsidRPr="000D2A11">
            <w:rPr>
              <w:rFonts w:ascii="Century Gothic" w:hAnsi="Century Gothic" w:cs="Calibri Light (Заголовки)"/>
              <w:spacing w:val="-10"/>
            </w:rPr>
            <w:t>ОГЛАВЛЕНИЕ</w:t>
          </w:r>
        </w:p>
        <w:p w14:paraId="27EDDE2B" w14:textId="77777777" w:rsidR="00E51E65" w:rsidRPr="000D2A11" w:rsidRDefault="00E51E65" w:rsidP="00E51E65">
          <w:pPr>
            <w:pStyle w:val="12"/>
            <w:rPr>
              <w:rFonts w:eastAsiaTheme="minorEastAsia"/>
              <w:noProof/>
              <w:kern w:val="2"/>
              <w:sz w:val="24"/>
              <w:szCs w:val="24"/>
              <w:lang w:eastAsia="ru-RU"/>
              <w14:ligatures w14:val="standardContextual"/>
            </w:rPr>
          </w:pPr>
          <w:r w:rsidRPr="000D2A11">
            <w:fldChar w:fldCharType="begin"/>
          </w:r>
          <w:r w:rsidRPr="000D2A11">
            <w:instrText xml:space="preserve"> TOC \o "1-3" \h \z \u </w:instrText>
          </w:r>
          <w:r w:rsidRPr="000D2A11">
            <w:fldChar w:fldCharType="separate"/>
          </w:r>
          <w:hyperlink w:anchor="_Toc199961139" w:history="1">
            <w:r w:rsidRPr="000D2A11">
              <w:rPr>
                <w:rStyle w:val="ac"/>
                <w:rFonts w:ascii="Century Gothic" w:hAnsi="Century Gothic" w:cs="Calibri Light (Заголовки)"/>
                <w:noProof/>
                <w:spacing w:val="-20"/>
              </w:rPr>
              <w:t>I. ВИДЫ ДОГОВОРОВ, В ОТНОШЕНИИ КОТОРЫХ ТРЕБУЕТСЯ ПРЕДОСТАВЛЕНИЕ ФИНАНСОВОЙ ИНФОРМАЦИИ</w:t>
            </w:r>
            <w:r w:rsidRPr="000D2A11">
              <w:rPr>
                <w:noProof/>
                <w:webHidden/>
              </w:rPr>
              <w:tab/>
            </w:r>
            <w:r w:rsidRPr="000D2A11">
              <w:rPr>
                <w:noProof/>
                <w:webHidden/>
              </w:rPr>
              <w:fldChar w:fldCharType="begin"/>
            </w:r>
            <w:r w:rsidRPr="000D2A11">
              <w:rPr>
                <w:noProof/>
                <w:webHidden/>
              </w:rPr>
              <w:instrText xml:space="preserve"> PAGEREF _Toc199961139 \h </w:instrText>
            </w:r>
            <w:r w:rsidRPr="000D2A11">
              <w:rPr>
                <w:noProof/>
                <w:webHidden/>
              </w:rPr>
            </w:r>
            <w:r w:rsidRPr="000D2A11">
              <w:rPr>
                <w:noProof/>
                <w:webHidden/>
              </w:rPr>
              <w:fldChar w:fldCharType="separate"/>
            </w:r>
            <w:r w:rsidR="00421420">
              <w:rPr>
                <w:noProof/>
                <w:webHidden/>
              </w:rPr>
              <w:t>3</w:t>
            </w:r>
            <w:r w:rsidRPr="000D2A11">
              <w:rPr>
                <w:noProof/>
                <w:webHidden/>
              </w:rPr>
              <w:fldChar w:fldCharType="end"/>
            </w:r>
          </w:hyperlink>
        </w:p>
        <w:p w14:paraId="657EFDF6" w14:textId="77777777" w:rsidR="00E51E65" w:rsidRPr="000D2A11" w:rsidRDefault="00BC70C0" w:rsidP="00E51E65">
          <w:pPr>
            <w:pStyle w:val="12"/>
            <w:rPr>
              <w:rFonts w:eastAsiaTheme="minorEastAsia"/>
              <w:noProof/>
              <w:kern w:val="2"/>
              <w:sz w:val="24"/>
              <w:szCs w:val="24"/>
              <w:lang w:eastAsia="ru-RU"/>
              <w14:ligatures w14:val="standardContextual"/>
            </w:rPr>
          </w:pPr>
          <w:hyperlink w:anchor="_Toc199961145" w:history="1">
            <w:r w:rsidR="00E51E65" w:rsidRPr="000D2A11">
              <w:rPr>
                <w:rStyle w:val="ac"/>
                <w:rFonts w:ascii="Century Gothic" w:hAnsi="Century Gothic" w:cs="Calibri Light (Заголовки)"/>
                <w:noProof/>
                <w:spacing w:val="-20"/>
              </w:rPr>
              <w:t>VI. ДОКУМЕНТЫ, ПОДТВЕРЖДАЮЩИЕ НАЛОГОВОЕ РЕЗИДЕНТСТВО</w:t>
            </w:r>
            <w:r w:rsidR="00E51E65" w:rsidRPr="000D2A11">
              <w:rPr>
                <w:noProof/>
                <w:webHidden/>
              </w:rPr>
              <w:tab/>
            </w:r>
            <w:r w:rsidR="00E51E65" w:rsidRPr="000D2A11">
              <w:rPr>
                <w:noProof/>
                <w:webHidden/>
              </w:rPr>
              <w:fldChar w:fldCharType="begin"/>
            </w:r>
            <w:r w:rsidR="00E51E65" w:rsidRPr="000D2A11">
              <w:rPr>
                <w:noProof/>
                <w:webHidden/>
              </w:rPr>
              <w:instrText xml:space="preserve"> PAGEREF _Toc199961145 \h </w:instrText>
            </w:r>
            <w:r w:rsidR="00E51E65" w:rsidRPr="000D2A11">
              <w:rPr>
                <w:noProof/>
                <w:webHidden/>
              </w:rPr>
            </w:r>
            <w:r w:rsidR="00E51E65" w:rsidRPr="000D2A11">
              <w:rPr>
                <w:noProof/>
                <w:webHidden/>
              </w:rPr>
              <w:fldChar w:fldCharType="separate"/>
            </w:r>
            <w:r w:rsidR="00421420">
              <w:rPr>
                <w:noProof/>
                <w:webHidden/>
              </w:rPr>
              <w:t>3</w:t>
            </w:r>
            <w:r w:rsidR="00E51E65" w:rsidRPr="000D2A11">
              <w:rPr>
                <w:noProof/>
                <w:webHidden/>
              </w:rPr>
              <w:fldChar w:fldCharType="end"/>
            </w:r>
          </w:hyperlink>
        </w:p>
        <w:p w14:paraId="53E1B87B" w14:textId="77777777" w:rsidR="00E51E65" w:rsidRPr="000D2A11" w:rsidRDefault="00BC70C0" w:rsidP="00E51E65">
          <w:pPr>
            <w:pStyle w:val="12"/>
            <w:rPr>
              <w:rFonts w:eastAsiaTheme="minorEastAsia"/>
              <w:noProof/>
              <w:kern w:val="2"/>
              <w:sz w:val="24"/>
              <w:szCs w:val="24"/>
              <w:lang w:eastAsia="ru-RU"/>
              <w14:ligatures w14:val="standardContextual"/>
            </w:rPr>
          </w:pPr>
          <w:hyperlink w:anchor="_Toc199961147" w:history="1">
            <w:r w:rsidR="00E51E65" w:rsidRPr="000D2A11">
              <w:rPr>
                <w:rStyle w:val="ac"/>
                <w:rFonts w:ascii="Century Gothic" w:hAnsi="Century Gothic" w:cs="Calibri Light (Заголовки)"/>
                <w:noProof/>
                <w:spacing w:val="-20"/>
              </w:rPr>
              <w:t>VIII. ИСКЛЮЧЕННЫЕ ВИДЫ КЛИЕНТОВ (ВЫГОДОПРИОБРЕТАТЕЛЕЙ) И ДОГОВОРОВ</w:t>
            </w:r>
            <w:r w:rsidR="00E51E65" w:rsidRPr="000D2A11">
              <w:rPr>
                <w:noProof/>
                <w:webHidden/>
              </w:rPr>
              <w:tab/>
            </w:r>
            <w:r w:rsidR="00E51E65" w:rsidRPr="000D2A11">
              <w:rPr>
                <w:noProof/>
                <w:webHidden/>
              </w:rPr>
              <w:fldChar w:fldCharType="begin"/>
            </w:r>
            <w:r w:rsidR="00E51E65" w:rsidRPr="000D2A11">
              <w:rPr>
                <w:noProof/>
                <w:webHidden/>
              </w:rPr>
              <w:instrText xml:space="preserve"> PAGEREF _Toc199961147 \h </w:instrText>
            </w:r>
            <w:r w:rsidR="00E51E65" w:rsidRPr="000D2A11">
              <w:rPr>
                <w:noProof/>
                <w:webHidden/>
              </w:rPr>
            </w:r>
            <w:r w:rsidR="00E51E65" w:rsidRPr="000D2A11">
              <w:rPr>
                <w:noProof/>
                <w:webHidden/>
              </w:rPr>
              <w:fldChar w:fldCharType="separate"/>
            </w:r>
            <w:r w:rsidR="00421420">
              <w:rPr>
                <w:noProof/>
                <w:webHidden/>
              </w:rPr>
              <w:t>4</w:t>
            </w:r>
            <w:r w:rsidR="00E51E65" w:rsidRPr="000D2A11">
              <w:rPr>
                <w:noProof/>
                <w:webHidden/>
              </w:rPr>
              <w:fldChar w:fldCharType="end"/>
            </w:r>
          </w:hyperlink>
        </w:p>
        <w:p w14:paraId="156F3907" w14:textId="77777777" w:rsidR="00E51E65" w:rsidRPr="000D2A11" w:rsidRDefault="00BC70C0" w:rsidP="00E51E65">
          <w:pPr>
            <w:pStyle w:val="12"/>
            <w:rPr>
              <w:rFonts w:eastAsiaTheme="minorEastAsia"/>
              <w:noProof/>
              <w:kern w:val="2"/>
              <w:sz w:val="24"/>
              <w:szCs w:val="24"/>
              <w:lang w:eastAsia="ru-RU"/>
              <w14:ligatures w14:val="standardContextual"/>
            </w:rPr>
          </w:pPr>
          <w:hyperlink w:anchor="_Toc199961151" w:history="1">
            <w:r w:rsidR="00E51E65" w:rsidRPr="000D2A11">
              <w:rPr>
                <w:rStyle w:val="ac"/>
                <w:rFonts w:ascii="Century Gothic" w:hAnsi="Century Gothic" w:cs="Calibri Light (Заголовки)"/>
                <w:noProof/>
                <w:spacing w:val="-20"/>
              </w:rPr>
              <w:t>XII. ПОДГОТОВКА ОТЧЕТНОСТИ</w:t>
            </w:r>
            <w:r w:rsidR="00E51E65" w:rsidRPr="000D2A11">
              <w:rPr>
                <w:noProof/>
                <w:webHidden/>
              </w:rPr>
              <w:tab/>
            </w:r>
            <w:r w:rsidR="00E51E65" w:rsidRPr="000D2A11">
              <w:rPr>
                <w:noProof/>
                <w:webHidden/>
              </w:rPr>
              <w:fldChar w:fldCharType="begin"/>
            </w:r>
            <w:r w:rsidR="00E51E65" w:rsidRPr="000D2A11">
              <w:rPr>
                <w:noProof/>
                <w:webHidden/>
              </w:rPr>
              <w:instrText xml:space="preserve"> PAGEREF _Toc199961151 \h </w:instrText>
            </w:r>
            <w:r w:rsidR="00E51E65" w:rsidRPr="000D2A11">
              <w:rPr>
                <w:noProof/>
                <w:webHidden/>
              </w:rPr>
            </w:r>
            <w:r w:rsidR="00E51E65" w:rsidRPr="000D2A11">
              <w:rPr>
                <w:noProof/>
                <w:webHidden/>
              </w:rPr>
              <w:fldChar w:fldCharType="separate"/>
            </w:r>
            <w:r w:rsidR="00421420">
              <w:rPr>
                <w:noProof/>
                <w:webHidden/>
              </w:rPr>
              <w:t>4</w:t>
            </w:r>
            <w:r w:rsidR="00E51E65" w:rsidRPr="000D2A11">
              <w:rPr>
                <w:noProof/>
                <w:webHidden/>
              </w:rPr>
              <w:fldChar w:fldCharType="end"/>
            </w:r>
          </w:hyperlink>
        </w:p>
        <w:p w14:paraId="66EB7C0F" w14:textId="77777777" w:rsidR="00E51E65" w:rsidRPr="000D2A11" w:rsidRDefault="00BC70C0" w:rsidP="00E51E65">
          <w:pPr>
            <w:pStyle w:val="12"/>
            <w:rPr>
              <w:rFonts w:eastAsiaTheme="minorEastAsia"/>
              <w:noProof/>
              <w:kern w:val="2"/>
              <w:sz w:val="24"/>
              <w:szCs w:val="24"/>
              <w:lang w:eastAsia="ru-RU"/>
              <w14:ligatures w14:val="standardContextual"/>
            </w:rPr>
          </w:pPr>
          <w:hyperlink w:anchor="_Toc199961152" w:history="1">
            <w:r w:rsidR="00E51E65" w:rsidRPr="000D2A11">
              <w:rPr>
                <w:rStyle w:val="ac"/>
                <w:rFonts w:ascii="Century Gothic" w:hAnsi="Century Gothic" w:cs="Calibri Light (Заголовки)"/>
                <w:noProof/>
                <w:spacing w:val="-20"/>
              </w:rPr>
              <w:t>XIII. ПОРЯДОК И СРОКИ ПРЕДСТАВЛЕНИЯ ОТЧЕТНОСТИ</w:t>
            </w:r>
            <w:r w:rsidR="00E51E65" w:rsidRPr="000D2A11">
              <w:rPr>
                <w:noProof/>
                <w:webHidden/>
              </w:rPr>
              <w:tab/>
            </w:r>
            <w:r w:rsidR="00E51E65" w:rsidRPr="000D2A11">
              <w:rPr>
                <w:noProof/>
                <w:webHidden/>
              </w:rPr>
              <w:fldChar w:fldCharType="begin"/>
            </w:r>
            <w:r w:rsidR="00E51E65" w:rsidRPr="000D2A11">
              <w:rPr>
                <w:noProof/>
                <w:webHidden/>
              </w:rPr>
              <w:instrText xml:space="preserve"> PAGEREF _Toc199961152 \h </w:instrText>
            </w:r>
            <w:r w:rsidR="00E51E65" w:rsidRPr="000D2A11">
              <w:rPr>
                <w:noProof/>
                <w:webHidden/>
              </w:rPr>
            </w:r>
            <w:r w:rsidR="00E51E65" w:rsidRPr="000D2A11">
              <w:rPr>
                <w:noProof/>
                <w:webHidden/>
              </w:rPr>
              <w:fldChar w:fldCharType="separate"/>
            </w:r>
            <w:r w:rsidR="00421420">
              <w:rPr>
                <w:noProof/>
                <w:webHidden/>
              </w:rPr>
              <w:t>5</w:t>
            </w:r>
            <w:r w:rsidR="00E51E65" w:rsidRPr="000D2A11">
              <w:rPr>
                <w:noProof/>
                <w:webHidden/>
              </w:rPr>
              <w:fldChar w:fldCharType="end"/>
            </w:r>
          </w:hyperlink>
        </w:p>
        <w:p w14:paraId="73034654" w14:textId="77777777" w:rsidR="00E51E65" w:rsidRPr="000D2A11" w:rsidRDefault="00BC70C0" w:rsidP="00E51E65">
          <w:pPr>
            <w:pStyle w:val="12"/>
            <w:rPr>
              <w:rFonts w:eastAsiaTheme="minorEastAsia"/>
              <w:noProof/>
              <w:kern w:val="2"/>
              <w:sz w:val="24"/>
              <w:szCs w:val="24"/>
              <w:lang w:eastAsia="ru-RU"/>
              <w14:ligatures w14:val="standardContextual"/>
            </w:rPr>
          </w:pPr>
          <w:hyperlink w:anchor="_Toc199961153" w:history="1">
            <w:r w:rsidR="00E51E65" w:rsidRPr="000D2A11">
              <w:rPr>
                <w:rStyle w:val="ac"/>
                <w:rFonts w:ascii="Century Gothic" w:hAnsi="Century Gothic" w:cs="Calibri Light (Заголовки)"/>
                <w:noProof/>
                <w:spacing w:val="-20"/>
              </w:rPr>
              <w:t>XIV. ПРИЗНАКИ СВЯЗИ С ИНОСТРАННЫМ ГОСУДАРСТВОМ</w:t>
            </w:r>
            <w:r w:rsidR="00E51E65" w:rsidRPr="000D2A11">
              <w:rPr>
                <w:noProof/>
                <w:webHidden/>
              </w:rPr>
              <w:tab/>
            </w:r>
            <w:r w:rsidR="00E51E65" w:rsidRPr="000D2A11">
              <w:rPr>
                <w:noProof/>
                <w:webHidden/>
              </w:rPr>
              <w:fldChar w:fldCharType="begin"/>
            </w:r>
            <w:r w:rsidR="00E51E65" w:rsidRPr="000D2A11">
              <w:rPr>
                <w:noProof/>
                <w:webHidden/>
              </w:rPr>
              <w:instrText xml:space="preserve"> PAGEREF _Toc199961153 \h </w:instrText>
            </w:r>
            <w:r w:rsidR="00E51E65" w:rsidRPr="000D2A11">
              <w:rPr>
                <w:noProof/>
                <w:webHidden/>
              </w:rPr>
            </w:r>
            <w:r w:rsidR="00E51E65" w:rsidRPr="000D2A11">
              <w:rPr>
                <w:noProof/>
                <w:webHidden/>
              </w:rPr>
              <w:fldChar w:fldCharType="separate"/>
            </w:r>
            <w:r w:rsidR="00421420">
              <w:rPr>
                <w:noProof/>
                <w:webHidden/>
              </w:rPr>
              <w:t>7</w:t>
            </w:r>
            <w:r w:rsidR="00E51E65" w:rsidRPr="000D2A11">
              <w:rPr>
                <w:noProof/>
                <w:webHidden/>
              </w:rPr>
              <w:fldChar w:fldCharType="end"/>
            </w:r>
          </w:hyperlink>
          <w:hyperlink w:anchor="_Toc199961156" w:history="1"/>
        </w:p>
        <w:p w14:paraId="617FF1BA" w14:textId="214560E6" w:rsidR="00E51E65" w:rsidRDefault="00BC70C0" w:rsidP="00347BD6">
          <w:pPr>
            <w:pStyle w:val="12"/>
            <w:spacing w:afterLines="0" w:after="0"/>
          </w:pPr>
          <w:hyperlink w:anchor="_Toc199961159" w:history="1">
            <w:r w:rsidR="00E51E65" w:rsidRPr="000D2A11">
              <w:rPr>
                <w:noProof/>
                <w:webHidden/>
              </w:rPr>
              <w:tab/>
            </w:r>
          </w:hyperlink>
          <w:r w:rsidR="00E51E65" w:rsidRPr="000D2A11">
            <w:rPr>
              <w:rFonts w:ascii="Century Gothic" w:hAnsi="Century Gothic" w:cs="Calibri Light (Заголовки)"/>
              <w:b w:val="0"/>
              <w:bCs w:val="0"/>
              <w:spacing w:val="-20"/>
            </w:rPr>
            <w:fldChar w:fldCharType="end"/>
          </w:r>
        </w:p>
        <w:p w14:paraId="04696489" w14:textId="77777777" w:rsidR="00E51E65" w:rsidRDefault="00E51E65" w:rsidP="00E51E65"/>
        <w:p w14:paraId="5A4287D3" w14:textId="77777777" w:rsidR="00E51E65" w:rsidRDefault="00E51E65" w:rsidP="00E51E65"/>
        <w:p w14:paraId="4561A25D" w14:textId="77777777" w:rsidR="00E51E65" w:rsidRDefault="00E51E65" w:rsidP="00E51E65"/>
        <w:p w14:paraId="4D9E952A" w14:textId="77777777" w:rsidR="00E51E65" w:rsidRDefault="00E51E65" w:rsidP="00E51E65"/>
        <w:p w14:paraId="57CD3BC1" w14:textId="77777777" w:rsidR="00E51E65" w:rsidRDefault="00E51E65" w:rsidP="00E51E65"/>
        <w:p w14:paraId="777A5099" w14:textId="77777777" w:rsidR="00E51E65" w:rsidRDefault="00E51E65" w:rsidP="00E51E65"/>
        <w:p w14:paraId="2A72F698" w14:textId="77777777" w:rsidR="00E51E65" w:rsidRDefault="00E51E65" w:rsidP="00E51E65"/>
        <w:p w14:paraId="176AE62F" w14:textId="77777777" w:rsidR="00E51E65" w:rsidRDefault="00E51E65" w:rsidP="00E51E65"/>
        <w:p w14:paraId="7B0D5F0E" w14:textId="77777777" w:rsidR="00E51E65" w:rsidRDefault="00E51E65" w:rsidP="00E51E65"/>
        <w:p w14:paraId="4B048EF3" w14:textId="77777777" w:rsidR="00E51E65" w:rsidRDefault="00E51E65" w:rsidP="00E51E65"/>
        <w:p w14:paraId="08ECEBA7" w14:textId="77777777" w:rsidR="00E51E65" w:rsidRDefault="00E51E65" w:rsidP="00E51E65"/>
        <w:p w14:paraId="04192450" w14:textId="77777777" w:rsidR="00E51E65" w:rsidRDefault="00E51E65" w:rsidP="00E51E65"/>
        <w:p w14:paraId="5392BED8" w14:textId="77777777" w:rsidR="00E51E65" w:rsidRDefault="00E51E65" w:rsidP="00E51E65"/>
        <w:p w14:paraId="3FB03DA2" w14:textId="77777777" w:rsidR="00E51E65" w:rsidRDefault="00E51E65" w:rsidP="00E51E65"/>
        <w:p w14:paraId="67394F88" w14:textId="77777777" w:rsidR="00E51E65" w:rsidRDefault="00E51E65" w:rsidP="00E51E65"/>
        <w:p w14:paraId="1CAD12E3" w14:textId="77777777" w:rsidR="00E51E65" w:rsidRDefault="00E51E65" w:rsidP="00E51E65"/>
        <w:p w14:paraId="36BA5952" w14:textId="77777777" w:rsidR="00E51E65" w:rsidRDefault="00E51E65" w:rsidP="00E51E65"/>
        <w:p w14:paraId="260163E0" w14:textId="77777777" w:rsidR="00E51E65" w:rsidRDefault="00E51E65" w:rsidP="00E51E65"/>
        <w:p w14:paraId="1E614DFC" w14:textId="77777777" w:rsidR="00E51E65" w:rsidRDefault="00E51E65" w:rsidP="00E51E65"/>
        <w:p w14:paraId="15F98C93" w14:textId="77777777" w:rsidR="00B0596F" w:rsidRDefault="00B0596F" w:rsidP="00E51E65"/>
        <w:p w14:paraId="7DA320E8" w14:textId="77777777" w:rsidR="00347BD6" w:rsidRDefault="00347BD6" w:rsidP="00E51E65"/>
        <w:p w14:paraId="27C9ABD3" w14:textId="77777777" w:rsidR="00421420" w:rsidRDefault="00421420" w:rsidP="00E51E65"/>
        <w:p w14:paraId="76325DD0" w14:textId="77777777" w:rsidR="00347BD6" w:rsidRDefault="00347BD6" w:rsidP="00E51E65"/>
        <w:p w14:paraId="5CE5E3A0" w14:textId="77777777" w:rsidR="00347BD6" w:rsidRPr="00E51E65" w:rsidRDefault="00347BD6" w:rsidP="00E51E65"/>
        <w:tbl>
          <w:tblPr>
            <w:tblStyle w:val="11"/>
            <w:tblpPr w:leftFromText="180" w:rightFromText="180" w:vertAnchor="text" w:horzAnchor="margin" w:tblpY="73"/>
            <w:tblW w:w="10490" w:type="dxa"/>
            <w:tblLayout w:type="fixed"/>
            <w:tblLook w:val="0400" w:firstRow="0" w:lastRow="0" w:firstColumn="0" w:lastColumn="0" w:noHBand="0" w:noVBand="1"/>
          </w:tblPr>
          <w:tblGrid>
            <w:gridCol w:w="10490"/>
          </w:tblGrid>
          <w:tr w:rsidR="00E51E65" w14:paraId="0FA787EE" w14:textId="77777777" w:rsidTr="00316374">
            <w:trPr>
              <w:trHeight w:val="110"/>
            </w:trPr>
            <w:tc>
              <w:tcPr>
                <w:tcW w:w="10490" w:type="dxa"/>
                <w:shd w:val="clear" w:color="auto" w:fill="0D76BB"/>
              </w:tcPr>
              <w:p w14:paraId="21929695" w14:textId="77777777" w:rsidR="00E51E65" w:rsidRPr="009E3B98" w:rsidRDefault="00E51E65" w:rsidP="00316374">
                <w:pPr>
                  <w:pStyle w:val="Default"/>
                  <w:jc w:val="center"/>
                  <w:outlineLvl w:val="0"/>
                  <w:rPr>
                    <w:b/>
                    <w:spacing w:val="-8"/>
                    <w:sz w:val="22"/>
                    <w:szCs w:val="22"/>
                  </w:rPr>
                </w:pPr>
                <w:bookmarkStart w:id="1" w:name="_Toc199961139"/>
                <w:r w:rsidRPr="009E3B98">
                  <w:rPr>
                    <w:b/>
                    <w:color w:val="FFFFFF" w:themeColor="background1"/>
                    <w:spacing w:val="-8"/>
                    <w:sz w:val="22"/>
                    <w:szCs w:val="22"/>
                  </w:rPr>
                  <w:lastRenderedPageBreak/>
                  <w:t>I. ВИДЫ ДОГОВОРОВ, В ОТНОШЕНИИ КОТОРЫХ ТРЕБУЕТСЯ ПРЕДОСТАВЛЕНИЕ ФИНАНСОВОЙ ИНФОРМАЦИИ</w:t>
                </w:r>
                <w:bookmarkEnd w:id="1"/>
              </w:p>
            </w:tc>
          </w:tr>
          <w:tr w:rsidR="00E51E65" w14:paraId="4A4366A3" w14:textId="77777777" w:rsidTr="00B67DC8">
            <w:trPr>
              <w:cnfStyle w:val="000000010000" w:firstRow="0" w:lastRow="0" w:firstColumn="0" w:lastColumn="0" w:oddVBand="0" w:evenVBand="0" w:oddHBand="0" w:evenHBand="1" w:firstRowFirstColumn="0" w:firstRowLastColumn="0" w:lastRowFirstColumn="0" w:lastRowLastColumn="0"/>
              <w:trHeight w:val="540"/>
            </w:trPr>
            <w:tc>
              <w:tcPr>
                <w:tcW w:w="10490" w:type="dxa"/>
                <w:shd w:val="clear" w:color="auto" w:fill="DEEAF6" w:themeFill="accent1" w:themeFillTint="33"/>
              </w:tcPr>
              <w:p w14:paraId="0C4EE8BE" w14:textId="43C4C73C" w:rsidR="00E51E65" w:rsidRPr="00334227" w:rsidRDefault="00341101" w:rsidP="00316374">
                <w:pPr>
                  <w:pStyle w:val="Default"/>
                  <w:jc w:val="both"/>
                  <w:rPr>
                    <w:rFonts w:asciiTheme="minorHAnsi" w:hAnsiTheme="minorHAnsi" w:cstheme="minorHAnsi"/>
                    <w:sz w:val="22"/>
                    <w:szCs w:val="22"/>
                  </w:rPr>
                </w:pPr>
                <w:r w:rsidRPr="00D540D3">
                  <w:rPr>
                    <w:rFonts w:asciiTheme="minorHAnsi" w:hAnsiTheme="minorHAnsi" w:cstheme="minorHAnsi"/>
                    <w:b/>
                    <w:color w:val="auto"/>
                    <w:sz w:val="22"/>
                    <w:szCs w:val="22"/>
                  </w:rPr>
                  <w:t>1.1</w:t>
                </w:r>
                <w:r w:rsidR="00E51E65" w:rsidRPr="00D540D3">
                  <w:rPr>
                    <w:rFonts w:asciiTheme="minorHAnsi" w:hAnsiTheme="minorHAnsi" w:cstheme="minorHAnsi"/>
                    <w:b/>
                    <w:color w:val="auto"/>
                    <w:sz w:val="22"/>
                    <w:szCs w:val="22"/>
                  </w:rPr>
                  <w:t xml:space="preserve"> Вопрос:</w:t>
                </w:r>
                <w:r w:rsidR="00E51E65" w:rsidRPr="002E7295">
                  <w:rPr>
                    <w:rFonts w:asciiTheme="minorHAnsi" w:hAnsiTheme="minorHAnsi" w:cstheme="minorHAnsi"/>
                    <w:color w:val="auto"/>
                    <w:sz w:val="22"/>
                    <w:szCs w:val="22"/>
                  </w:rPr>
                  <w:t xml:space="preserve"> Считается </w:t>
                </w:r>
                <w:r w:rsidR="00E51E65" w:rsidRPr="00334227">
                  <w:rPr>
                    <w:rFonts w:asciiTheme="minorHAnsi" w:hAnsiTheme="minorHAnsi" w:cstheme="minorHAnsi"/>
                    <w:sz w:val="22"/>
                    <w:szCs w:val="22"/>
                  </w:rPr>
                  <w:t xml:space="preserve">ли «Договор публичного депозитного счета нотариуса» договором, в отношении которого требуется представление финансовой информации в </w:t>
                </w:r>
                <w:r w:rsidR="00E51E65">
                  <w:rPr>
                    <w:rFonts w:asciiTheme="minorHAnsi" w:hAnsiTheme="minorHAnsi" w:cstheme="minorHAnsi"/>
                    <w:sz w:val="22"/>
                    <w:szCs w:val="22"/>
                  </w:rPr>
                  <w:t>соответствии с Постановлением</w:t>
                </w:r>
                <w:r w:rsidR="00E51E65" w:rsidRPr="00334227">
                  <w:rPr>
                    <w:rFonts w:asciiTheme="minorHAnsi" w:hAnsiTheme="minorHAnsi" w:cstheme="minorHAnsi"/>
                    <w:sz w:val="22"/>
                    <w:szCs w:val="22"/>
                  </w:rPr>
                  <w:t>?</w:t>
                </w:r>
              </w:p>
            </w:tc>
          </w:tr>
          <w:tr w:rsidR="00E51E65" w14:paraId="1FDC8C97" w14:textId="77777777" w:rsidTr="00316374">
            <w:trPr>
              <w:trHeight w:val="2684"/>
            </w:trPr>
            <w:tc>
              <w:tcPr>
                <w:tcW w:w="10490" w:type="dxa"/>
              </w:tcPr>
              <w:p w14:paraId="16C55C1A" w14:textId="77777777" w:rsidR="00E51E65" w:rsidRPr="00334227" w:rsidRDefault="00E51E65" w:rsidP="00316374">
                <w:pPr>
                  <w:pStyle w:val="Default"/>
                  <w:ind w:firstLine="709"/>
                  <w:jc w:val="both"/>
                  <w:rPr>
                    <w:rFonts w:asciiTheme="minorHAnsi" w:hAnsiTheme="minorHAnsi" w:cstheme="minorHAnsi"/>
                    <w:sz w:val="22"/>
                    <w:szCs w:val="22"/>
                  </w:rPr>
                </w:pPr>
                <w:r w:rsidRPr="00334227">
                  <w:rPr>
                    <w:rFonts w:asciiTheme="minorHAnsi" w:hAnsiTheme="minorHAnsi" w:cstheme="minorHAnsi"/>
                    <w:b/>
                    <w:sz w:val="22"/>
                    <w:szCs w:val="22"/>
                  </w:rPr>
                  <w:t>Ответ:</w:t>
                </w:r>
                <w:r w:rsidRPr="00334227">
                  <w:rPr>
                    <w:rFonts w:asciiTheme="minorHAnsi" w:hAnsiTheme="minorHAnsi" w:cstheme="minorHAnsi"/>
                    <w:sz w:val="22"/>
                    <w:szCs w:val="22"/>
                  </w:rPr>
                  <w:t xml:space="preserve"> Согласно пункту 14 Положения в случае если клиент при заключении договора, предусматривающего оказание финансовой услуги, действует в интересах третьего лица - выгодоприобретателя (в том числе в случае, если выплаты по договору осуществляются выгодоприобретателю или если действия ОФР осуществляются в интересах выгодоприобретателя) и при этом такой выгодоприобретатель является налоговым резидентом иностранного государства, то информация, указанная в разделе II Положения, представляется ОФР в отношении выгодоприобретателя, а также в случаях, предусмотренных Положением, - в отношении лиц, прямо или косвенно его контролирующих.</w:t>
                </w:r>
              </w:p>
              <w:p w14:paraId="2C6AFF9A" w14:textId="77777777" w:rsidR="00E51E65" w:rsidRPr="00334227" w:rsidRDefault="00E51E65" w:rsidP="00316374">
                <w:pPr>
                  <w:pStyle w:val="Default"/>
                  <w:ind w:firstLine="709"/>
                  <w:jc w:val="both"/>
                  <w:rPr>
                    <w:rFonts w:asciiTheme="minorHAnsi" w:hAnsiTheme="minorHAnsi" w:cstheme="minorHAnsi"/>
                    <w:b/>
                    <w:sz w:val="22"/>
                    <w:szCs w:val="22"/>
                  </w:rPr>
                </w:pPr>
                <w:r w:rsidRPr="00334227">
                  <w:rPr>
                    <w:rFonts w:asciiTheme="minorHAnsi" w:hAnsiTheme="minorHAnsi" w:cstheme="minorHAnsi"/>
                    <w:sz w:val="22"/>
                    <w:szCs w:val="22"/>
                  </w:rPr>
                  <w:t>В случае, если выгодоприобретателем по договору публичного депозитного счета является налоговый резидент иностранного государства, ОФР включает информацию в отношении указанного договора в состав финансовой информации, представляемой в соответствии с пунктом 1 статьи 142.2 НК РФ.</w:t>
                </w:r>
              </w:p>
            </w:tc>
          </w:tr>
        </w:tbl>
        <w:p w14:paraId="6B0A47EE" w14:textId="511AED86" w:rsidR="00622B7C" w:rsidRDefault="00BC70C0" w:rsidP="00E51E65">
          <w:pPr>
            <w:spacing w:afterLines="120" w:after="288" w:line="240" w:lineRule="auto"/>
            <w:ind w:right="-24"/>
          </w:pPr>
        </w:p>
      </w:sdtContent>
    </w:sdt>
    <w:tbl>
      <w:tblPr>
        <w:tblStyle w:val="11"/>
        <w:tblW w:w="10490" w:type="dxa"/>
        <w:tblLayout w:type="fixed"/>
        <w:tblLook w:val="0400" w:firstRow="0" w:lastRow="0" w:firstColumn="0" w:lastColumn="0" w:noHBand="0" w:noVBand="1"/>
      </w:tblPr>
      <w:tblGrid>
        <w:gridCol w:w="10490"/>
      </w:tblGrid>
      <w:tr w:rsidR="00B403F8" w:rsidRPr="00AF5E31" w14:paraId="7EBD416B" w14:textId="77777777" w:rsidTr="009E3B98">
        <w:trPr>
          <w:trHeight w:val="110"/>
        </w:trPr>
        <w:tc>
          <w:tcPr>
            <w:tcW w:w="10490" w:type="dxa"/>
            <w:shd w:val="clear" w:color="auto" w:fill="0D76BB"/>
          </w:tcPr>
          <w:p w14:paraId="3D0187A3" w14:textId="77777777" w:rsidR="00B403F8" w:rsidRPr="00AF5E31" w:rsidRDefault="00B403F8" w:rsidP="006846A2">
            <w:pPr>
              <w:pStyle w:val="Default"/>
              <w:jc w:val="center"/>
              <w:outlineLvl w:val="0"/>
              <w:rPr>
                <w:b/>
                <w:sz w:val="22"/>
                <w:szCs w:val="22"/>
              </w:rPr>
            </w:pPr>
            <w:bookmarkStart w:id="2" w:name="_Toc199961145"/>
            <w:r w:rsidRPr="00B403F8">
              <w:rPr>
                <w:b/>
                <w:color w:val="FFFFFF" w:themeColor="background1"/>
                <w:sz w:val="22"/>
                <w:szCs w:val="22"/>
              </w:rPr>
              <w:t>VI. Д</w:t>
            </w:r>
            <w:r w:rsidR="006846A2">
              <w:rPr>
                <w:b/>
                <w:color w:val="FFFFFF" w:themeColor="background1"/>
                <w:sz w:val="22"/>
                <w:szCs w:val="22"/>
              </w:rPr>
              <w:t>ОКУМЕНЫ, ПОДТВЕРЖДАЮЩИЕ НАЛОГОВОЕ РЕЗИДЕНТСТВО</w:t>
            </w:r>
            <w:bookmarkEnd w:id="2"/>
          </w:p>
        </w:tc>
      </w:tr>
      <w:tr w:rsidR="009228EF" w14:paraId="6860BE71" w14:textId="77777777" w:rsidTr="000C763E">
        <w:trPr>
          <w:cnfStyle w:val="000000010000" w:firstRow="0" w:lastRow="0" w:firstColumn="0" w:lastColumn="0" w:oddVBand="0" w:evenVBand="0" w:oddHBand="0" w:evenHBand="1" w:firstRowFirstColumn="0" w:firstRowLastColumn="0" w:lastRowFirstColumn="0" w:lastRowLastColumn="0"/>
          <w:trHeight w:val="1004"/>
        </w:trPr>
        <w:tc>
          <w:tcPr>
            <w:tcW w:w="10490" w:type="dxa"/>
            <w:shd w:val="clear" w:color="auto" w:fill="DEEAF6" w:themeFill="accent1" w:themeFillTint="33"/>
          </w:tcPr>
          <w:p w14:paraId="38852ECA" w14:textId="3033A83B" w:rsidR="009228EF" w:rsidRPr="00A57AF9" w:rsidRDefault="00157C29" w:rsidP="00A57AF9">
            <w:pPr>
              <w:pStyle w:val="Default"/>
              <w:jc w:val="both"/>
              <w:rPr>
                <w:bCs/>
                <w:sz w:val="22"/>
                <w:szCs w:val="22"/>
              </w:rPr>
            </w:pPr>
            <w:r w:rsidRPr="00D540D3">
              <w:rPr>
                <w:b/>
                <w:bCs/>
                <w:sz w:val="22"/>
                <w:szCs w:val="22"/>
              </w:rPr>
              <w:t>6.1</w:t>
            </w:r>
            <w:r w:rsidR="00A57AF9" w:rsidRPr="00D540D3">
              <w:rPr>
                <w:b/>
                <w:bCs/>
                <w:sz w:val="22"/>
                <w:szCs w:val="22"/>
              </w:rPr>
              <w:t xml:space="preserve"> Вопрос:</w:t>
            </w:r>
            <w:r w:rsidR="00A57AF9" w:rsidRPr="002E7295">
              <w:rPr>
                <w:bCs/>
                <w:sz w:val="22"/>
                <w:szCs w:val="22"/>
              </w:rPr>
              <w:t xml:space="preserve"> </w:t>
            </w:r>
            <w:r w:rsidR="00A57AF9" w:rsidRPr="00A57AF9">
              <w:rPr>
                <w:bCs/>
                <w:sz w:val="22"/>
                <w:szCs w:val="22"/>
              </w:rPr>
              <w:t>Вправе ли Банк не считать Клиента налоговым резидентом иностранного государства в случае предоставления в Банк паспорта РФ и соответственно не включать в Отчет CRS финансовую информацию о Клиенте, начиная с отчетного периода, следующего за отчетным периодом предоставления Клиентом в Банк паспорта РФ?</w:t>
            </w:r>
          </w:p>
        </w:tc>
      </w:tr>
      <w:tr w:rsidR="00EA3CF7" w14:paraId="4406A2F3" w14:textId="77777777" w:rsidTr="00EA3CF7">
        <w:trPr>
          <w:trHeight w:val="1004"/>
        </w:trPr>
        <w:tc>
          <w:tcPr>
            <w:tcW w:w="10490" w:type="dxa"/>
            <w:shd w:val="clear" w:color="auto" w:fill="auto"/>
          </w:tcPr>
          <w:p w14:paraId="6381236B" w14:textId="164FD52B" w:rsidR="00EA3CF7" w:rsidRPr="00A57AF9" w:rsidRDefault="00EA3CF7" w:rsidP="00EA3CF7">
            <w:pPr>
              <w:pStyle w:val="Default"/>
              <w:ind w:firstLine="738"/>
              <w:jc w:val="both"/>
              <w:rPr>
                <w:bCs/>
                <w:sz w:val="22"/>
                <w:szCs w:val="22"/>
              </w:rPr>
            </w:pPr>
            <w:r w:rsidRPr="00A57AF9">
              <w:rPr>
                <w:b/>
                <w:bCs/>
                <w:sz w:val="22"/>
                <w:szCs w:val="22"/>
              </w:rPr>
              <w:t xml:space="preserve">Ответ: </w:t>
            </w:r>
            <w:r w:rsidRPr="00A57AF9">
              <w:rPr>
                <w:bCs/>
                <w:sz w:val="22"/>
                <w:szCs w:val="22"/>
              </w:rPr>
              <w:t>В случае, если ОФР выявила, что клиент в течение отчетного года являлся налоговым резидентом иностранного государства, она обязана включить информацию в отношении такого клиента, а также иную информацию, относящуюся к заключенному между таким клиентом и ОФР договору, предусматривающем</w:t>
            </w:r>
            <w:r w:rsidR="003C581C">
              <w:rPr>
                <w:bCs/>
                <w:sz w:val="22"/>
                <w:szCs w:val="22"/>
              </w:rPr>
              <w:t>у оказание финансовых услуг, в О</w:t>
            </w:r>
            <w:r w:rsidRPr="00A57AF9">
              <w:rPr>
                <w:bCs/>
                <w:sz w:val="22"/>
                <w:szCs w:val="22"/>
              </w:rPr>
              <w:t>тчет.</w:t>
            </w:r>
          </w:p>
          <w:p w14:paraId="2C61EE7B" w14:textId="6C38A938" w:rsidR="00EA3CF7" w:rsidRDefault="00EA3CF7" w:rsidP="00EA3CF7">
            <w:pPr>
              <w:pStyle w:val="Default"/>
              <w:jc w:val="both"/>
              <w:rPr>
                <w:b/>
                <w:bCs/>
                <w:sz w:val="22"/>
                <w:szCs w:val="22"/>
                <w:highlight w:val="yellow"/>
              </w:rPr>
            </w:pPr>
            <w:r w:rsidRPr="00A57AF9">
              <w:rPr>
                <w:bCs/>
                <w:sz w:val="22"/>
                <w:szCs w:val="22"/>
              </w:rPr>
              <w:t xml:space="preserve">При этом </w:t>
            </w:r>
            <w:r>
              <w:rPr>
                <w:bCs/>
                <w:sz w:val="22"/>
                <w:szCs w:val="22"/>
              </w:rPr>
              <w:t>факт того</w:t>
            </w:r>
            <w:r w:rsidRPr="00A57AF9">
              <w:rPr>
                <w:bCs/>
                <w:sz w:val="22"/>
                <w:szCs w:val="22"/>
              </w:rPr>
              <w:t>, что клиент получил паспорт гражданина Российской Федерации само по себе не означает, что клиент является российским налоговым резидентом и (или) не является налоговым резидентом иностранного государства, поскольку в силу правил, установленных национальным законодательством иностранного государства, условия признания физического лица налоговым резидентом могут отличаться от условий, установленных в статье 207 НК РФ.</w:t>
            </w:r>
          </w:p>
        </w:tc>
      </w:tr>
      <w:tr w:rsidR="00EA3CF7" w14:paraId="3CA57B9B" w14:textId="77777777" w:rsidTr="006A615B">
        <w:trPr>
          <w:cnfStyle w:val="000000010000" w:firstRow="0" w:lastRow="0" w:firstColumn="0" w:lastColumn="0" w:oddVBand="0" w:evenVBand="0" w:oddHBand="0" w:evenHBand="1" w:firstRowFirstColumn="0" w:firstRowLastColumn="0" w:lastRowFirstColumn="0" w:lastRowLastColumn="0"/>
          <w:trHeight w:val="824"/>
        </w:trPr>
        <w:tc>
          <w:tcPr>
            <w:tcW w:w="10490" w:type="dxa"/>
            <w:shd w:val="clear" w:color="auto" w:fill="DEEAF6" w:themeFill="accent1" w:themeFillTint="33"/>
          </w:tcPr>
          <w:p w14:paraId="04CCB76D" w14:textId="2BA29A07" w:rsidR="00EA3CF7" w:rsidRDefault="00EA3CF7" w:rsidP="00A57AF9">
            <w:pPr>
              <w:pStyle w:val="Default"/>
              <w:jc w:val="both"/>
              <w:rPr>
                <w:b/>
                <w:bCs/>
                <w:sz w:val="22"/>
                <w:szCs w:val="22"/>
                <w:highlight w:val="yellow"/>
              </w:rPr>
            </w:pPr>
            <w:r w:rsidRPr="002E7295">
              <w:rPr>
                <w:sz w:val="22"/>
                <w:szCs w:val="22"/>
              </w:rPr>
              <w:t xml:space="preserve">6.2 Вопрос: </w:t>
            </w:r>
            <w:r w:rsidR="003C581C">
              <w:rPr>
                <w:sz w:val="22"/>
                <w:szCs w:val="22"/>
              </w:rPr>
              <w:t>Необходимо ли включать в О</w:t>
            </w:r>
            <w:r w:rsidRPr="00AE4E0A">
              <w:rPr>
                <w:sz w:val="22"/>
                <w:szCs w:val="22"/>
              </w:rPr>
              <w:t>тчет информацию в отношении клиентов, которые одновременно являются российскими налоговыми резидентами и налоговыми резидентами иностранного государства (территории)?</w:t>
            </w:r>
          </w:p>
        </w:tc>
      </w:tr>
      <w:tr w:rsidR="009228EF" w14:paraId="0601B014" w14:textId="77777777" w:rsidTr="007A0A56">
        <w:trPr>
          <w:trHeight w:val="556"/>
        </w:trPr>
        <w:tc>
          <w:tcPr>
            <w:tcW w:w="10490" w:type="dxa"/>
          </w:tcPr>
          <w:p w14:paraId="2C7BB3F8" w14:textId="77777777" w:rsidR="00EA3CF7" w:rsidRPr="00AE4E0A" w:rsidRDefault="00EA3CF7" w:rsidP="00EA3CF7">
            <w:pPr>
              <w:pStyle w:val="Default"/>
              <w:ind w:firstLine="738"/>
              <w:jc w:val="both"/>
              <w:rPr>
                <w:sz w:val="22"/>
                <w:szCs w:val="22"/>
              </w:rPr>
            </w:pPr>
            <w:r>
              <w:rPr>
                <w:b/>
                <w:bCs/>
                <w:sz w:val="22"/>
                <w:szCs w:val="22"/>
              </w:rPr>
              <w:t xml:space="preserve">Ответ: </w:t>
            </w:r>
            <w:r w:rsidRPr="00AE4E0A">
              <w:rPr>
                <w:sz w:val="22"/>
                <w:szCs w:val="22"/>
              </w:rPr>
              <w:t>Согласно абзацу третьему пункта 62 Положения если в результате изменения обстоятельств в отношении нового договора информация, представленная клиентом (в виде формы самостоятельной сертификации), не соответствует (перестала соответствовать) действительности, ОФР не вправе полагаться на нее и обязана в течение 90 дней со дня, когда она узнала или должна была узнать о таких обстоятельствах, запросить и получить от клиента информацию (документы) и обоснование, которые подтверждают достоверность информации, представленной клиентом в связи с изменением обстоятельств.</w:t>
            </w:r>
          </w:p>
          <w:p w14:paraId="20B40CBC" w14:textId="77777777" w:rsidR="00EA3CF7" w:rsidRPr="00AE4E0A" w:rsidRDefault="00EA3CF7" w:rsidP="00EA3CF7">
            <w:pPr>
              <w:pStyle w:val="Default"/>
              <w:ind w:firstLine="738"/>
              <w:jc w:val="both"/>
              <w:rPr>
                <w:sz w:val="22"/>
                <w:szCs w:val="22"/>
              </w:rPr>
            </w:pPr>
            <w:r w:rsidRPr="00AE4E0A">
              <w:rPr>
                <w:sz w:val="22"/>
                <w:szCs w:val="22"/>
              </w:rPr>
              <w:t>При этом сведения о том, что клиент является налоговым резидентом Российской Федерации сами по себе не означают, что клиент не является налоговым резидентом иностранного государства, поскольку в силу правил, установленных национальным законодательством иностранного государства, условия признания физического лица налоговым резидентом могут отличаться от условий, установленных в статье 207 Кодекса.</w:t>
            </w:r>
          </w:p>
          <w:p w14:paraId="06304CDF" w14:textId="715784ED" w:rsidR="009228EF" w:rsidRDefault="00EA3CF7" w:rsidP="003C581C">
            <w:pPr>
              <w:pStyle w:val="Default"/>
              <w:ind w:firstLine="738"/>
              <w:jc w:val="both"/>
              <w:rPr>
                <w:b/>
                <w:bCs/>
                <w:sz w:val="22"/>
                <w:szCs w:val="22"/>
              </w:rPr>
            </w:pPr>
            <w:r w:rsidRPr="00AE4E0A">
              <w:rPr>
                <w:sz w:val="22"/>
                <w:szCs w:val="22"/>
              </w:rPr>
              <w:t>Соответственно в элементе «Государство (территория) налогового резидентства» (&lt;ResCountryCode&gt;) Формата, указываются все коды иностранных государств, признаки принадлежности (налоговое резидентство) к которым выявлены ОФР в отношении клиента.</w:t>
            </w:r>
          </w:p>
        </w:tc>
      </w:tr>
      <w:tr w:rsidR="00A57AF9" w14:paraId="07E5C338" w14:textId="77777777" w:rsidTr="000C763E">
        <w:trPr>
          <w:cnfStyle w:val="000000010000" w:firstRow="0" w:lastRow="0" w:firstColumn="0" w:lastColumn="0" w:oddVBand="0" w:evenVBand="0" w:oddHBand="0" w:evenHBand="1" w:firstRowFirstColumn="0" w:firstRowLastColumn="0" w:lastRowFirstColumn="0" w:lastRowLastColumn="0"/>
          <w:trHeight w:val="1453"/>
        </w:trPr>
        <w:tc>
          <w:tcPr>
            <w:tcW w:w="10490" w:type="dxa"/>
            <w:shd w:val="clear" w:color="auto" w:fill="DEEAF6" w:themeFill="accent1" w:themeFillTint="33"/>
          </w:tcPr>
          <w:p w14:paraId="09CC9110" w14:textId="74519C1E" w:rsidR="00A57AF9" w:rsidRPr="00A57AF9" w:rsidRDefault="00157C29" w:rsidP="006846A2">
            <w:pPr>
              <w:pStyle w:val="Default"/>
              <w:jc w:val="both"/>
              <w:rPr>
                <w:bCs/>
                <w:sz w:val="22"/>
                <w:szCs w:val="22"/>
              </w:rPr>
            </w:pPr>
            <w:r w:rsidRPr="00D540D3">
              <w:rPr>
                <w:b/>
                <w:bCs/>
                <w:sz w:val="22"/>
                <w:szCs w:val="22"/>
              </w:rPr>
              <w:t>6.</w:t>
            </w:r>
            <w:r w:rsidR="00EA3CF7" w:rsidRPr="00D540D3">
              <w:rPr>
                <w:b/>
                <w:bCs/>
                <w:sz w:val="22"/>
                <w:szCs w:val="22"/>
              </w:rPr>
              <w:t>3</w:t>
            </w:r>
            <w:r w:rsidR="00A57AF9" w:rsidRPr="00D540D3">
              <w:rPr>
                <w:b/>
                <w:bCs/>
                <w:sz w:val="22"/>
                <w:szCs w:val="22"/>
              </w:rPr>
              <w:t xml:space="preserve"> Вопрос:</w:t>
            </w:r>
            <w:r w:rsidR="00A57AF9" w:rsidRPr="002E7295">
              <w:rPr>
                <w:bCs/>
                <w:sz w:val="22"/>
                <w:szCs w:val="22"/>
              </w:rPr>
              <w:t xml:space="preserve"> </w:t>
            </w:r>
            <w:r w:rsidR="00A57AF9" w:rsidRPr="00A57AF9">
              <w:rPr>
                <w:bCs/>
                <w:sz w:val="22"/>
                <w:szCs w:val="22"/>
              </w:rPr>
              <w:t xml:space="preserve">Вправе ли Банк не считать Клиента налоговым резидентом иностранного государства </w:t>
            </w:r>
            <w:r w:rsidR="000B5856">
              <w:rPr>
                <w:bCs/>
                <w:sz w:val="22"/>
                <w:szCs w:val="22"/>
              </w:rPr>
              <w:t xml:space="preserve">в случае предоставления в Банк </w:t>
            </w:r>
            <w:r w:rsidR="00A57AF9" w:rsidRPr="00A57AF9">
              <w:rPr>
                <w:bCs/>
                <w:sz w:val="22"/>
                <w:szCs w:val="22"/>
              </w:rPr>
              <w:t xml:space="preserve">обновленной </w:t>
            </w:r>
            <w:r w:rsidR="006846A2">
              <w:rPr>
                <w:bCs/>
                <w:sz w:val="22"/>
                <w:szCs w:val="22"/>
              </w:rPr>
              <w:t>формы самосертификации клиента</w:t>
            </w:r>
            <w:r w:rsidR="00A57AF9" w:rsidRPr="00A57AF9">
              <w:rPr>
                <w:bCs/>
                <w:sz w:val="22"/>
                <w:szCs w:val="22"/>
              </w:rPr>
              <w:t xml:space="preserve">, в которой Клиент указывает, что является налоговым резидентом только РФ, и соответственно не включать в Отчет CRS финансовую информацию о Клиенте, начиная с отчетного периода, следующего за отчетным периодом предоставления Клиентом </w:t>
            </w:r>
            <w:r w:rsidR="006846A2">
              <w:rPr>
                <w:bCs/>
                <w:sz w:val="22"/>
                <w:szCs w:val="22"/>
              </w:rPr>
              <w:t>обновленной</w:t>
            </w:r>
            <w:r w:rsidR="00A57AF9" w:rsidRPr="00A57AF9">
              <w:rPr>
                <w:bCs/>
                <w:sz w:val="22"/>
                <w:szCs w:val="22"/>
              </w:rPr>
              <w:t xml:space="preserve"> Анкеты?</w:t>
            </w:r>
          </w:p>
        </w:tc>
      </w:tr>
      <w:tr w:rsidR="00A57AF9" w14:paraId="605912BB" w14:textId="77777777" w:rsidTr="002774AE">
        <w:trPr>
          <w:trHeight w:val="977"/>
        </w:trPr>
        <w:tc>
          <w:tcPr>
            <w:tcW w:w="10490" w:type="dxa"/>
          </w:tcPr>
          <w:p w14:paraId="147EFBDC" w14:textId="77777777" w:rsidR="00A57AF9" w:rsidRPr="00A57AF9" w:rsidRDefault="00A57AF9" w:rsidP="00A57AF9">
            <w:pPr>
              <w:pStyle w:val="Default"/>
              <w:ind w:firstLine="738"/>
              <w:jc w:val="both"/>
              <w:rPr>
                <w:bCs/>
                <w:sz w:val="22"/>
                <w:szCs w:val="22"/>
              </w:rPr>
            </w:pPr>
            <w:r w:rsidRPr="00A57AF9">
              <w:rPr>
                <w:b/>
                <w:bCs/>
                <w:sz w:val="22"/>
                <w:szCs w:val="22"/>
              </w:rPr>
              <w:t xml:space="preserve">Ответ: </w:t>
            </w:r>
            <w:r w:rsidRPr="00A57AF9">
              <w:rPr>
                <w:bCs/>
                <w:sz w:val="22"/>
                <w:szCs w:val="22"/>
              </w:rPr>
              <w:t>ОФР вправе не считать клиента налоговым резидентом иностранного государства, если клиент заявил о том, что он не является налоговым резидентом иностранного государства, и представил документы, удостоверяющие личность или свидетельствующие об отсутствии у него статуса налогового резидента иностранного государства</w:t>
            </w:r>
            <w:r w:rsidR="006846A2">
              <w:rPr>
                <w:bCs/>
                <w:sz w:val="22"/>
                <w:szCs w:val="22"/>
              </w:rPr>
              <w:t xml:space="preserve"> (см. пункт 42 Положения)</w:t>
            </w:r>
            <w:r w:rsidRPr="00A57AF9">
              <w:rPr>
                <w:bCs/>
                <w:sz w:val="22"/>
                <w:szCs w:val="22"/>
              </w:rPr>
              <w:t>.</w:t>
            </w:r>
          </w:p>
          <w:p w14:paraId="6690E975" w14:textId="49AC6752" w:rsidR="00A57AF9" w:rsidRPr="00A57AF9" w:rsidRDefault="00A57AF9" w:rsidP="006846A2">
            <w:pPr>
              <w:pStyle w:val="Default"/>
              <w:ind w:firstLine="738"/>
              <w:jc w:val="both"/>
              <w:rPr>
                <w:b/>
                <w:bCs/>
                <w:sz w:val="22"/>
                <w:szCs w:val="22"/>
              </w:rPr>
            </w:pPr>
            <w:r w:rsidRPr="00A57AF9">
              <w:rPr>
                <w:bCs/>
                <w:sz w:val="22"/>
                <w:szCs w:val="22"/>
              </w:rPr>
              <w:t xml:space="preserve">Таким образом, в случае, если в отчетном периоде клиент - иностранный гражданин заявляет посредством самосертификации, что он стал налоговым резидентом только Российской Федерации, ОФР </w:t>
            </w:r>
            <w:r w:rsidR="006846A2">
              <w:rPr>
                <w:bCs/>
                <w:sz w:val="22"/>
                <w:szCs w:val="22"/>
              </w:rPr>
              <w:t>следует</w:t>
            </w:r>
            <w:r w:rsidR="006846A2" w:rsidRPr="00A57AF9">
              <w:rPr>
                <w:bCs/>
                <w:sz w:val="22"/>
                <w:szCs w:val="22"/>
              </w:rPr>
              <w:t xml:space="preserve"> </w:t>
            </w:r>
            <w:r w:rsidRPr="00A57AF9">
              <w:rPr>
                <w:bCs/>
                <w:sz w:val="22"/>
                <w:szCs w:val="22"/>
              </w:rPr>
              <w:t xml:space="preserve">запросить у такого клиента документы, подтверждающие достоверность указанной информации, в том числе документы, свидетельствующие об отсутствии у него статуса налогового резидента иностранного </w:t>
            </w:r>
            <w:r w:rsidRPr="00A57AF9">
              <w:rPr>
                <w:bCs/>
                <w:sz w:val="22"/>
                <w:szCs w:val="22"/>
              </w:rPr>
              <w:lastRenderedPageBreak/>
              <w:t>государства, признаков принадлежности к иностранному государству, установленные в Приложении №2 к Положению, а также о наличии документов, подтверждающих его статус как налогового резидента Российской Федерации, например, справку о доходах (приложение 2 формы 6-НДФЛ).</w:t>
            </w:r>
          </w:p>
        </w:tc>
      </w:tr>
      <w:tr w:rsidR="00D429CE" w14:paraId="055CF2C1" w14:textId="77777777" w:rsidTr="002774AE">
        <w:trPr>
          <w:cnfStyle w:val="000000010000" w:firstRow="0" w:lastRow="0" w:firstColumn="0" w:lastColumn="0" w:oddVBand="0" w:evenVBand="0" w:oddHBand="0" w:evenHBand="1" w:firstRowFirstColumn="0" w:firstRowLastColumn="0" w:lastRowFirstColumn="0" w:lastRowLastColumn="0"/>
          <w:trHeight w:val="977"/>
        </w:trPr>
        <w:tc>
          <w:tcPr>
            <w:tcW w:w="10490" w:type="dxa"/>
          </w:tcPr>
          <w:p w14:paraId="2F6D0B72" w14:textId="2F6E3464" w:rsidR="00D429CE" w:rsidRPr="00D6654B" w:rsidRDefault="00D429CE" w:rsidP="009B32B7">
            <w:pPr>
              <w:pStyle w:val="Default"/>
              <w:jc w:val="both"/>
              <w:rPr>
                <w:b/>
                <w:bCs/>
                <w:sz w:val="22"/>
                <w:szCs w:val="22"/>
                <w:highlight w:val="green"/>
              </w:rPr>
            </w:pPr>
            <w:r w:rsidRPr="00D540D3">
              <w:rPr>
                <w:b/>
                <w:bCs/>
                <w:sz w:val="22"/>
                <w:szCs w:val="22"/>
              </w:rPr>
              <w:lastRenderedPageBreak/>
              <w:t>6.4 Вопрос</w:t>
            </w:r>
            <w:r w:rsidR="00D540D3" w:rsidRPr="00D540D3">
              <w:rPr>
                <w:b/>
                <w:bCs/>
                <w:sz w:val="22"/>
                <w:szCs w:val="22"/>
              </w:rPr>
              <w:t xml:space="preserve"> (нов)</w:t>
            </w:r>
            <w:r w:rsidRPr="00D540D3">
              <w:rPr>
                <w:b/>
                <w:bCs/>
                <w:sz w:val="22"/>
                <w:szCs w:val="22"/>
              </w:rPr>
              <w:t xml:space="preserve">: </w:t>
            </w:r>
            <w:r w:rsidR="009B32B7" w:rsidRPr="00D540D3">
              <w:rPr>
                <w:bCs/>
                <w:sz w:val="22"/>
                <w:szCs w:val="22"/>
              </w:rPr>
              <w:t>Нужно</w:t>
            </w:r>
            <w:r w:rsidR="009B32B7" w:rsidRPr="009B32B7">
              <w:rPr>
                <w:bCs/>
                <w:sz w:val="22"/>
                <w:szCs w:val="22"/>
              </w:rPr>
              <w:t xml:space="preserve"> ли в</w:t>
            </w:r>
            <w:r w:rsidR="00D6654B" w:rsidRPr="009B32B7">
              <w:rPr>
                <w:bCs/>
                <w:sz w:val="22"/>
                <w:szCs w:val="22"/>
              </w:rPr>
              <w:t>ключ</w:t>
            </w:r>
            <w:r w:rsidR="009B32B7" w:rsidRPr="009B32B7">
              <w:rPr>
                <w:bCs/>
                <w:sz w:val="22"/>
                <w:szCs w:val="22"/>
              </w:rPr>
              <w:t>ать</w:t>
            </w:r>
            <w:r w:rsidR="00366515">
              <w:rPr>
                <w:bCs/>
                <w:sz w:val="22"/>
                <w:szCs w:val="22"/>
              </w:rPr>
              <w:t xml:space="preserve"> в О</w:t>
            </w:r>
            <w:r w:rsidRPr="009B32B7">
              <w:rPr>
                <w:bCs/>
                <w:sz w:val="22"/>
                <w:szCs w:val="22"/>
              </w:rPr>
              <w:t xml:space="preserve">тчетность </w:t>
            </w:r>
            <w:r w:rsidR="00366515">
              <w:rPr>
                <w:bCs/>
                <w:sz w:val="22"/>
                <w:szCs w:val="22"/>
              </w:rPr>
              <w:t xml:space="preserve">сведения о </w:t>
            </w:r>
            <w:r w:rsidRPr="009B32B7">
              <w:rPr>
                <w:bCs/>
                <w:sz w:val="22"/>
                <w:szCs w:val="22"/>
              </w:rPr>
              <w:t>клиент</w:t>
            </w:r>
            <w:r w:rsidR="00366515">
              <w:rPr>
                <w:bCs/>
                <w:sz w:val="22"/>
                <w:szCs w:val="22"/>
              </w:rPr>
              <w:t>е</w:t>
            </w:r>
            <w:r w:rsidRPr="009B32B7">
              <w:rPr>
                <w:bCs/>
                <w:sz w:val="22"/>
                <w:szCs w:val="22"/>
              </w:rPr>
              <w:t xml:space="preserve">, который являлся налоговым резидентом иностранного государства в течение отчетного периода, но на конец </w:t>
            </w:r>
            <w:r w:rsidR="00366515">
              <w:rPr>
                <w:bCs/>
                <w:sz w:val="22"/>
                <w:szCs w:val="22"/>
              </w:rPr>
              <w:t xml:space="preserve">такого </w:t>
            </w:r>
            <w:r w:rsidRPr="009B32B7">
              <w:rPr>
                <w:bCs/>
                <w:sz w:val="22"/>
                <w:szCs w:val="22"/>
              </w:rPr>
              <w:t>отчетного периода перестал быть налоговым рези</w:t>
            </w:r>
            <w:r w:rsidR="009B32B7" w:rsidRPr="009B32B7">
              <w:rPr>
                <w:bCs/>
                <w:sz w:val="22"/>
                <w:szCs w:val="22"/>
              </w:rPr>
              <w:t>дентом иностранного государства?</w:t>
            </w:r>
          </w:p>
        </w:tc>
      </w:tr>
      <w:tr w:rsidR="00D429CE" w14:paraId="3C967709" w14:textId="77777777" w:rsidTr="00D429CE">
        <w:trPr>
          <w:trHeight w:val="977"/>
        </w:trPr>
        <w:tc>
          <w:tcPr>
            <w:tcW w:w="10490" w:type="dxa"/>
            <w:shd w:val="clear" w:color="auto" w:fill="auto"/>
          </w:tcPr>
          <w:p w14:paraId="0B8328F4" w14:textId="77777777" w:rsidR="00D429CE" w:rsidRPr="006C23F8" w:rsidRDefault="00D429CE" w:rsidP="00D429CE">
            <w:pPr>
              <w:pStyle w:val="Default"/>
              <w:ind w:firstLine="738"/>
              <w:jc w:val="both"/>
              <w:rPr>
                <w:bCs/>
                <w:sz w:val="22"/>
                <w:szCs w:val="22"/>
              </w:rPr>
            </w:pPr>
            <w:r w:rsidRPr="006C23F8">
              <w:rPr>
                <w:b/>
                <w:bCs/>
                <w:sz w:val="22"/>
                <w:szCs w:val="22"/>
              </w:rPr>
              <w:t>Ответ:</w:t>
            </w:r>
            <w:r w:rsidRPr="006C23F8">
              <w:rPr>
                <w:bCs/>
                <w:sz w:val="22"/>
                <w:szCs w:val="22"/>
              </w:rPr>
              <w:t xml:space="preserve"> Пунктом 1 статьи 142.2 Кодекса установлена обязанность для ОФР представлять в ФНС России финансовую информацию о клиентах, выгодоприобретателях и (или) лицах, прямо или косвенно их контролирующих, в отношении которых на основании мероприятий, установленных пунктом 1 статьи 142.4 Кодекса, или имеющейся у ОФР информации выявлено, что они являются налоговыми резидентами иностранных государств (территорий), а также иную информацию, относящуюся к заключенному между клиентом и организацией финансового рынка договору, предусматривающему оказание финансовых услуг.</w:t>
            </w:r>
          </w:p>
          <w:p w14:paraId="259EE0ED" w14:textId="77777777" w:rsidR="00D429CE" w:rsidRPr="006C23F8" w:rsidRDefault="00D429CE" w:rsidP="00D429CE">
            <w:pPr>
              <w:autoSpaceDE w:val="0"/>
              <w:autoSpaceDN w:val="0"/>
              <w:adjustRightInd w:val="0"/>
              <w:spacing w:line="252" w:lineRule="auto"/>
              <w:ind w:firstLine="708"/>
              <w:jc w:val="both"/>
              <w:rPr>
                <w:rFonts w:ascii="Calibri" w:hAnsi="Calibri" w:cs="Calibri"/>
                <w:bCs/>
                <w:color w:val="000000"/>
              </w:rPr>
            </w:pPr>
            <w:r w:rsidRPr="006C23F8">
              <w:rPr>
                <w:rFonts w:ascii="Calibri" w:hAnsi="Calibri" w:cs="Calibri"/>
                <w:bCs/>
                <w:color w:val="000000"/>
              </w:rPr>
              <w:t xml:space="preserve">Согласно абзацу пятому пункта 2 Положения «налоговый резидент иностранного государства» - это лицо, которое признается таковым в соответствии с законодательством иностранного государства (иностранных государств) или территории (территорий) или в отношении которого есть основания полагать, что оно является таковым. </w:t>
            </w:r>
          </w:p>
          <w:p w14:paraId="44ADD501" w14:textId="77777777" w:rsidR="00D6654B" w:rsidRPr="006C23F8" w:rsidRDefault="00D6654B" w:rsidP="00D6654B">
            <w:pPr>
              <w:autoSpaceDE w:val="0"/>
              <w:autoSpaceDN w:val="0"/>
              <w:adjustRightInd w:val="0"/>
              <w:spacing w:line="252" w:lineRule="auto"/>
              <w:ind w:firstLine="708"/>
              <w:jc w:val="both"/>
              <w:rPr>
                <w:rFonts w:ascii="Calibri" w:hAnsi="Calibri" w:cs="Calibri"/>
                <w:bCs/>
                <w:color w:val="000000"/>
              </w:rPr>
            </w:pPr>
            <w:r w:rsidRPr="006C23F8">
              <w:rPr>
                <w:rFonts w:ascii="Calibri" w:hAnsi="Calibri" w:cs="Calibri"/>
                <w:bCs/>
                <w:color w:val="000000"/>
              </w:rPr>
              <w:t>В соответствии с пунктом 55 Положения в случае заключения нового договора ОФР обязана запросить у лица, намеревающегося стать клиентом, информацию о его налоговом резидентстве.</w:t>
            </w:r>
          </w:p>
          <w:p w14:paraId="5459D8D1" w14:textId="5BD173C8" w:rsidR="00D6654B" w:rsidRPr="006C23F8" w:rsidRDefault="00D6654B" w:rsidP="00D6654B">
            <w:pPr>
              <w:autoSpaceDE w:val="0"/>
              <w:autoSpaceDN w:val="0"/>
              <w:adjustRightInd w:val="0"/>
              <w:spacing w:line="252" w:lineRule="auto"/>
              <w:ind w:firstLine="708"/>
              <w:jc w:val="both"/>
              <w:rPr>
                <w:rFonts w:ascii="Calibri" w:hAnsi="Calibri" w:cs="Calibri"/>
                <w:bCs/>
                <w:color w:val="000000"/>
              </w:rPr>
            </w:pPr>
            <w:r w:rsidRPr="006C23F8">
              <w:rPr>
                <w:rFonts w:ascii="Calibri" w:hAnsi="Calibri" w:cs="Calibri"/>
                <w:bCs/>
                <w:color w:val="000000"/>
              </w:rPr>
              <w:t>Таким образом, ни в указанных, ни в каких-либо иных нормах главы 20.1 Кодекса либо Положения не содержится указания, что требование о налоговом резидентстве либо наличии иных признаков принадлежности к иностранным государствам должно выполняться по состоянию на конец отчётного периода для целей признания договора подотчётным.</w:t>
            </w:r>
          </w:p>
          <w:p w14:paraId="1AE5E209" w14:textId="77777777" w:rsidR="009E3ECE" w:rsidRDefault="009B32B7" w:rsidP="009B32B7">
            <w:pPr>
              <w:autoSpaceDE w:val="0"/>
              <w:autoSpaceDN w:val="0"/>
              <w:adjustRightInd w:val="0"/>
              <w:spacing w:line="252" w:lineRule="auto"/>
              <w:ind w:firstLine="708"/>
              <w:jc w:val="both"/>
              <w:rPr>
                <w:rFonts w:ascii="Calibri" w:hAnsi="Calibri" w:cs="Calibri"/>
                <w:bCs/>
                <w:color w:val="000000"/>
              </w:rPr>
            </w:pPr>
            <w:r w:rsidRPr="006C23F8">
              <w:rPr>
                <w:rFonts w:ascii="Calibri" w:hAnsi="Calibri" w:cs="Calibri"/>
                <w:bCs/>
                <w:color w:val="000000"/>
              </w:rPr>
              <w:t>Более того, с практической точки зрения в отношении существующих счетов в большинстве случаев у ОФР не будет возможности документально подтвердить, что выявленные признаки принадлежности к иностранным государствам действительны (сохраняют актуальность) по состоянию на конец отчетного периода, поскольку они выявляются в течение отчетного периода, в том числе по результатам проведения мер в соответствии с разделами III и IV Положения, и соответственно гарантированно</w:t>
            </w:r>
            <w:r w:rsidRPr="009B32B7">
              <w:rPr>
                <w:rFonts w:ascii="Calibri" w:hAnsi="Calibri" w:cs="Calibri"/>
                <w:bCs/>
                <w:color w:val="000000"/>
              </w:rPr>
              <w:t xml:space="preserve"> актуальными могут быть по состоянию на день, в котором они выявлены. </w:t>
            </w:r>
          </w:p>
          <w:p w14:paraId="79D45A03" w14:textId="441D15BF" w:rsidR="009E3ECE" w:rsidRDefault="009E3ECE" w:rsidP="009B32B7">
            <w:pPr>
              <w:autoSpaceDE w:val="0"/>
              <w:autoSpaceDN w:val="0"/>
              <w:adjustRightInd w:val="0"/>
              <w:spacing w:line="252" w:lineRule="auto"/>
              <w:ind w:firstLine="708"/>
              <w:jc w:val="both"/>
              <w:rPr>
                <w:rFonts w:ascii="Calibri" w:hAnsi="Calibri" w:cs="Calibri"/>
                <w:bCs/>
                <w:color w:val="000000"/>
              </w:rPr>
            </w:pPr>
            <w:r w:rsidRPr="009E3ECE">
              <w:rPr>
                <w:rFonts w:ascii="Calibri" w:hAnsi="Calibri" w:cs="Calibri"/>
                <w:bCs/>
                <w:color w:val="000000"/>
              </w:rPr>
              <w:t xml:space="preserve">Одновременно в отношении новых счетов, ОФР по определению не может получить от клиента информацию о налоговом резидентстве в иностранном государстве по состоянию на конец такого ещё незавершённого отчётного </w:t>
            </w:r>
            <w:r>
              <w:rPr>
                <w:rFonts w:ascii="Calibri" w:hAnsi="Calibri" w:cs="Calibri"/>
                <w:bCs/>
                <w:color w:val="000000"/>
              </w:rPr>
              <w:t>периода, поскольку получает такую информацию на момент открытия счета.</w:t>
            </w:r>
          </w:p>
          <w:p w14:paraId="06B69E75" w14:textId="001D29AC" w:rsidR="009B32B7" w:rsidRDefault="009B32B7" w:rsidP="009B32B7">
            <w:pPr>
              <w:autoSpaceDE w:val="0"/>
              <w:autoSpaceDN w:val="0"/>
              <w:adjustRightInd w:val="0"/>
              <w:spacing w:line="252" w:lineRule="auto"/>
              <w:ind w:firstLine="708"/>
              <w:jc w:val="both"/>
              <w:rPr>
                <w:rFonts w:ascii="Calibri" w:hAnsi="Calibri" w:cs="Calibri"/>
                <w:bCs/>
                <w:color w:val="000000"/>
                <w:highlight w:val="green"/>
              </w:rPr>
            </w:pPr>
            <w:r w:rsidRPr="009B32B7">
              <w:rPr>
                <w:rFonts w:ascii="Calibri" w:hAnsi="Calibri" w:cs="Calibri"/>
                <w:bCs/>
                <w:color w:val="000000"/>
              </w:rPr>
              <w:t>Введение же в практику всеобщего истребования (массовых запросов) у клиентов обновления признаков принадлежности по состоянию на конец отчетного периода не поддерживает</w:t>
            </w:r>
            <w:r>
              <w:rPr>
                <w:rFonts w:ascii="Calibri" w:hAnsi="Calibri" w:cs="Calibri"/>
                <w:bCs/>
                <w:color w:val="000000"/>
              </w:rPr>
              <w:t>ся</w:t>
            </w:r>
            <w:r w:rsidRPr="009B32B7">
              <w:rPr>
                <w:rFonts w:ascii="Calibri" w:hAnsi="Calibri" w:cs="Calibri"/>
                <w:bCs/>
                <w:color w:val="000000"/>
              </w:rPr>
              <w:t>.</w:t>
            </w:r>
          </w:p>
          <w:p w14:paraId="07B16C5A" w14:textId="112B05BA" w:rsidR="00D429CE" w:rsidRPr="00D6654B" w:rsidRDefault="006C23F8" w:rsidP="00366515">
            <w:pPr>
              <w:autoSpaceDE w:val="0"/>
              <w:autoSpaceDN w:val="0"/>
              <w:adjustRightInd w:val="0"/>
              <w:spacing w:line="252" w:lineRule="auto"/>
              <w:ind w:firstLine="708"/>
              <w:jc w:val="both"/>
              <w:rPr>
                <w:bCs/>
                <w:highlight w:val="green"/>
              </w:rPr>
            </w:pPr>
            <w:r w:rsidRPr="006C23F8">
              <w:rPr>
                <w:rFonts w:ascii="Calibri" w:hAnsi="Calibri" w:cs="Calibri"/>
                <w:bCs/>
                <w:color w:val="000000"/>
              </w:rPr>
              <w:t xml:space="preserve">Учитывая изложенное, </w:t>
            </w:r>
            <w:r>
              <w:rPr>
                <w:rFonts w:ascii="Calibri" w:hAnsi="Calibri" w:cs="Calibri"/>
                <w:bCs/>
                <w:color w:val="000000"/>
              </w:rPr>
              <w:t>факт определения ОФР</w:t>
            </w:r>
            <w:r w:rsidRPr="006C23F8">
              <w:rPr>
                <w:rFonts w:ascii="Calibri" w:hAnsi="Calibri" w:cs="Calibri"/>
                <w:bCs/>
                <w:color w:val="000000"/>
              </w:rPr>
              <w:t xml:space="preserve"> </w:t>
            </w:r>
            <w:r>
              <w:rPr>
                <w:rFonts w:ascii="Calibri" w:hAnsi="Calibri" w:cs="Calibri"/>
                <w:bCs/>
                <w:color w:val="000000"/>
              </w:rPr>
              <w:t xml:space="preserve">иностранного </w:t>
            </w:r>
            <w:r w:rsidRPr="006C23F8">
              <w:rPr>
                <w:rFonts w:ascii="Calibri" w:hAnsi="Calibri" w:cs="Calibri"/>
                <w:bCs/>
                <w:color w:val="000000"/>
              </w:rPr>
              <w:t xml:space="preserve">налогового резидентства </w:t>
            </w:r>
            <w:r>
              <w:rPr>
                <w:rFonts w:ascii="Calibri" w:hAnsi="Calibri" w:cs="Calibri"/>
                <w:bCs/>
                <w:color w:val="000000"/>
              </w:rPr>
              <w:t>у клиента</w:t>
            </w:r>
            <w:r w:rsidRPr="006C23F8">
              <w:rPr>
                <w:rFonts w:ascii="Calibri" w:hAnsi="Calibri" w:cs="Calibri"/>
                <w:bCs/>
                <w:color w:val="000000"/>
              </w:rPr>
              <w:t xml:space="preserve"> </w:t>
            </w:r>
            <w:r>
              <w:rPr>
                <w:rFonts w:ascii="Calibri" w:hAnsi="Calibri" w:cs="Calibri"/>
                <w:bCs/>
                <w:color w:val="000000"/>
              </w:rPr>
              <w:t xml:space="preserve">в течение отчетного периода является основанием для </w:t>
            </w:r>
            <w:r w:rsidR="00366515">
              <w:rPr>
                <w:rFonts w:ascii="Calibri" w:hAnsi="Calibri" w:cs="Calibri"/>
                <w:bCs/>
                <w:color w:val="000000"/>
              </w:rPr>
              <w:t>представления О</w:t>
            </w:r>
            <w:r>
              <w:rPr>
                <w:rFonts w:ascii="Calibri" w:hAnsi="Calibri" w:cs="Calibri"/>
                <w:bCs/>
                <w:color w:val="000000"/>
              </w:rPr>
              <w:t xml:space="preserve">тчетности независимо от статуса резидентства такого клиента </w:t>
            </w:r>
            <w:r w:rsidRPr="006C23F8">
              <w:rPr>
                <w:rFonts w:ascii="Calibri" w:hAnsi="Calibri" w:cs="Calibri"/>
                <w:bCs/>
                <w:color w:val="000000"/>
              </w:rPr>
              <w:t xml:space="preserve">по состоянию на конец </w:t>
            </w:r>
            <w:r>
              <w:rPr>
                <w:rFonts w:ascii="Calibri" w:hAnsi="Calibri" w:cs="Calibri"/>
                <w:bCs/>
                <w:color w:val="000000"/>
              </w:rPr>
              <w:t xml:space="preserve">такого </w:t>
            </w:r>
            <w:r w:rsidRPr="006C23F8">
              <w:rPr>
                <w:rFonts w:ascii="Calibri" w:hAnsi="Calibri" w:cs="Calibri"/>
                <w:bCs/>
                <w:color w:val="000000"/>
              </w:rPr>
              <w:t>отчетного периода</w:t>
            </w:r>
            <w:r>
              <w:rPr>
                <w:rFonts w:ascii="Calibri" w:hAnsi="Calibri" w:cs="Calibri"/>
                <w:bCs/>
                <w:color w:val="000000"/>
              </w:rPr>
              <w:t>.</w:t>
            </w:r>
          </w:p>
        </w:tc>
      </w:tr>
    </w:tbl>
    <w:p w14:paraId="629E2859" w14:textId="77777777" w:rsidR="00C33C42" w:rsidRDefault="00C33C42" w:rsidP="00F10992">
      <w:pPr>
        <w:jc w:val="both"/>
      </w:pPr>
    </w:p>
    <w:tbl>
      <w:tblPr>
        <w:tblStyle w:val="11"/>
        <w:tblW w:w="10490" w:type="dxa"/>
        <w:tblLayout w:type="fixed"/>
        <w:tblLook w:val="0400" w:firstRow="0" w:lastRow="0" w:firstColumn="0" w:lastColumn="0" w:noHBand="0" w:noVBand="1"/>
      </w:tblPr>
      <w:tblGrid>
        <w:gridCol w:w="10490"/>
      </w:tblGrid>
      <w:tr w:rsidR="00CD65ED" w:rsidRPr="00AF5E31" w14:paraId="617795A1" w14:textId="77777777" w:rsidTr="009E3B98">
        <w:trPr>
          <w:trHeight w:val="110"/>
        </w:trPr>
        <w:tc>
          <w:tcPr>
            <w:tcW w:w="10490" w:type="dxa"/>
            <w:shd w:val="clear" w:color="auto" w:fill="0D76BB"/>
          </w:tcPr>
          <w:p w14:paraId="687EBF23" w14:textId="77777777" w:rsidR="00CD65ED" w:rsidRPr="00AF5E31" w:rsidRDefault="007A0A56" w:rsidP="00F71824">
            <w:pPr>
              <w:pStyle w:val="Default"/>
              <w:jc w:val="center"/>
              <w:outlineLvl w:val="0"/>
              <w:rPr>
                <w:b/>
                <w:sz w:val="22"/>
                <w:szCs w:val="22"/>
              </w:rPr>
            </w:pPr>
            <w:bookmarkStart w:id="3" w:name="_Toc199961147"/>
            <w:r w:rsidRPr="00CD65ED">
              <w:rPr>
                <w:b/>
                <w:color w:val="FFFFFF" w:themeColor="background1"/>
                <w:sz w:val="22"/>
                <w:szCs w:val="22"/>
              </w:rPr>
              <w:t>VIII. ИСКЛЮЧЕННЫЕ ВИДЫ КЛИЕНТОВ (ВЫГОДОПРИОБРЕТАТЕЛЕЙ) И ДОГОВОРО</w:t>
            </w:r>
            <w:bookmarkEnd w:id="3"/>
            <w:r w:rsidR="00CE30ED">
              <w:rPr>
                <w:b/>
                <w:color w:val="FFFFFF" w:themeColor="background1"/>
                <w:sz w:val="22"/>
                <w:szCs w:val="22"/>
              </w:rPr>
              <w:t>В</w:t>
            </w:r>
          </w:p>
        </w:tc>
      </w:tr>
      <w:tr w:rsidR="00CD65ED" w14:paraId="6F865750" w14:textId="77777777" w:rsidTr="006A615B">
        <w:trPr>
          <w:cnfStyle w:val="000000010000" w:firstRow="0" w:lastRow="0" w:firstColumn="0" w:lastColumn="0" w:oddVBand="0" w:evenVBand="0" w:oddHBand="0" w:evenHBand="1" w:firstRowFirstColumn="0" w:firstRowLastColumn="0" w:lastRowFirstColumn="0" w:lastRowLastColumn="0"/>
          <w:trHeight w:val="557"/>
        </w:trPr>
        <w:tc>
          <w:tcPr>
            <w:tcW w:w="10490" w:type="dxa"/>
            <w:shd w:val="clear" w:color="auto" w:fill="DEEAF6" w:themeFill="accent1" w:themeFillTint="33"/>
          </w:tcPr>
          <w:p w14:paraId="43B41B41" w14:textId="77777777" w:rsidR="00CD65ED" w:rsidRPr="00CD65ED" w:rsidRDefault="00E93A6C" w:rsidP="00C35C8B">
            <w:pPr>
              <w:pStyle w:val="Default"/>
              <w:ind w:firstLine="29"/>
              <w:jc w:val="both"/>
              <w:rPr>
                <w:bCs/>
                <w:sz w:val="22"/>
                <w:szCs w:val="22"/>
              </w:rPr>
            </w:pPr>
            <w:r w:rsidRPr="00D540D3">
              <w:rPr>
                <w:b/>
                <w:bCs/>
                <w:sz w:val="22"/>
                <w:szCs w:val="22"/>
              </w:rPr>
              <w:t>8.1</w:t>
            </w:r>
            <w:r w:rsidR="00CD65ED" w:rsidRPr="00D540D3">
              <w:rPr>
                <w:b/>
                <w:bCs/>
                <w:sz w:val="22"/>
                <w:szCs w:val="22"/>
              </w:rPr>
              <w:t xml:space="preserve"> Вопрос:</w:t>
            </w:r>
            <w:r w:rsidR="00CD65ED" w:rsidRPr="002E7295">
              <w:rPr>
                <w:bCs/>
                <w:sz w:val="22"/>
                <w:szCs w:val="22"/>
              </w:rPr>
              <w:t xml:space="preserve"> </w:t>
            </w:r>
            <w:r w:rsidR="00CD65ED" w:rsidRPr="00CD65ED">
              <w:rPr>
                <w:bCs/>
                <w:sz w:val="22"/>
                <w:szCs w:val="22"/>
              </w:rPr>
              <w:t>Вправе ли ОФР не относить для целей исполнения Главы 20.1 НК РФ и Постановления клиента - международную компанию, созданную в порядке ре</w:t>
            </w:r>
            <w:r w:rsidR="00C35C8B">
              <w:rPr>
                <w:bCs/>
                <w:sz w:val="22"/>
                <w:szCs w:val="22"/>
              </w:rPr>
              <w:t xml:space="preserve">домициляции в соответствии с </w:t>
            </w:r>
            <w:r w:rsidR="00CD65ED" w:rsidRPr="00CD65ED">
              <w:rPr>
                <w:bCs/>
                <w:sz w:val="22"/>
                <w:szCs w:val="22"/>
              </w:rPr>
              <w:t>290-ФЗ от 03.08.2018?</w:t>
            </w:r>
          </w:p>
        </w:tc>
      </w:tr>
      <w:tr w:rsidR="00CD65ED" w14:paraId="6909C037" w14:textId="77777777" w:rsidTr="00CD65ED">
        <w:trPr>
          <w:trHeight w:val="556"/>
        </w:trPr>
        <w:tc>
          <w:tcPr>
            <w:tcW w:w="10490" w:type="dxa"/>
          </w:tcPr>
          <w:p w14:paraId="0FD09BF1" w14:textId="77777777" w:rsidR="003E1FE1" w:rsidRDefault="00CD65ED" w:rsidP="00CD65ED">
            <w:pPr>
              <w:pStyle w:val="Default"/>
              <w:ind w:firstLine="738"/>
              <w:jc w:val="both"/>
              <w:rPr>
                <w:b/>
                <w:bCs/>
                <w:sz w:val="22"/>
                <w:szCs w:val="22"/>
              </w:rPr>
            </w:pPr>
            <w:r>
              <w:rPr>
                <w:b/>
                <w:bCs/>
                <w:sz w:val="22"/>
                <w:szCs w:val="22"/>
              </w:rPr>
              <w:t>Ответ:</w:t>
            </w:r>
            <w:r w:rsidRPr="00CD65ED">
              <w:rPr>
                <w:b/>
                <w:bCs/>
                <w:sz w:val="22"/>
                <w:szCs w:val="22"/>
              </w:rPr>
              <w:t xml:space="preserve"> </w:t>
            </w:r>
          </w:p>
          <w:p w14:paraId="50FB140A" w14:textId="77777777" w:rsidR="003E1FE1" w:rsidRPr="003E1FE1" w:rsidRDefault="003E1FE1" w:rsidP="003E1FE1">
            <w:pPr>
              <w:pStyle w:val="Default"/>
              <w:ind w:firstLine="738"/>
              <w:jc w:val="both"/>
              <w:rPr>
                <w:bCs/>
                <w:sz w:val="22"/>
                <w:szCs w:val="22"/>
              </w:rPr>
            </w:pPr>
            <w:r w:rsidRPr="003E1FE1">
              <w:rPr>
                <w:bCs/>
                <w:sz w:val="22"/>
                <w:szCs w:val="22"/>
              </w:rPr>
              <w:t>В соответствии с абзацем вторым пункта 2 статьи 11 Кодекса для целей Кодекса и иных актов законодательства о налогах и сборах юридические лица, образованные в соответствии с законодательством Российской Федерации, и международные компании являются российскими организациями.</w:t>
            </w:r>
          </w:p>
          <w:p w14:paraId="4B3C92E8" w14:textId="77777777" w:rsidR="003E1FE1" w:rsidRPr="003E1FE1" w:rsidRDefault="003E1FE1" w:rsidP="003E1FE1">
            <w:pPr>
              <w:pStyle w:val="Default"/>
              <w:ind w:firstLine="738"/>
              <w:jc w:val="both"/>
              <w:rPr>
                <w:bCs/>
                <w:sz w:val="22"/>
                <w:szCs w:val="22"/>
              </w:rPr>
            </w:pPr>
            <w:r w:rsidRPr="003E1FE1">
              <w:rPr>
                <w:bCs/>
                <w:sz w:val="22"/>
                <w:szCs w:val="22"/>
              </w:rPr>
              <w:t>Согласно пункту 1 статьи 246.2 Кодекса российские организации признаются налоговыми резидентами Российской Федерации.</w:t>
            </w:r>
          </w:p>
          <w:p w14:paraId="6DDCAEDD" w14:textId="77777777" w:rsidR="003E1FE1" w:rsidRPr="003E1FE1" w:rsidRDefault="003E1FE1" w:rsidP="003E1FE1">
            <w:pPr>
              <w:pStyle w:val="Default"/>
              <w:ind w:firstLine="738"/>
              <w:jc w:val="both"/>
              <w:rPr>
                <w:bCs/>
                <w:sz w:val="22"/>
                <w:szCs w:val="22"/>
              </w:rPr>
            </w:pPr>
            <w:r w:rsidRPr="003E1FE1">
              <w:rPr>
                <w:bCs/>
                <w:sz w:val="22"/>
                <w:szCs w:val="22"/>
              </w:rPr>
              <w:t>Пунктом 1 статьи 142.2 Кодекса установлена обязанность для</w:t>
            </w:r>
            <w:r w:rsidR="00F30559">
              <w:rPr>
                <w:bCs/>
                <w:sz w:val="22"/>
                <w:szCs w:val="22"/>
              </w:rPr>
              <w:t xml:space="preserve"> ОФР</w:t>
            </w:r>
            <w:r w:rsidRPr="003E1FE1">
              <w:rPr>
                <w:bCs/>
                <w:sz w:val="22"/>
                <w:szCs w:val="22"/>
              </w:rPr>
              <w:t xml:space="preserve"> представлять в ФНС России финансовую информацию о клиентах, выгодоприобретателях и (или) лицах, прямо или косвенно их контролирующих, в отношении которых на основании мероприятий, установленных пунктом 1 статьи 142.4 Кодекса, или имеющейся у ОФР информации выявлено, что они являются налоговыми резидентами иностранных государств (территорий), а также иную информацию, относящуюся к заключенному между клиентом и организацией финансового рынка договору, предусматривающему оказание финансовых услуг.</w:t>
            </w:r>
          </w:p>
          <w:p w14:paraId="462D334B" w14:textId="77777777" w:rsidR="00F30559" w:rsidRPr="00F30559" w:rsidRDefault="007845CE" w:rsidP="00F30559">
            <w:pPr>
              <w:pStyle w:val="Default"/>
              <w:ind w:firstLine="738"/>
              <w:jc w:val="both"/>
              <w:rPr>
                <w:bCs/>
                <w:sz w:val="22"/>
                <w:szCs w:val="22"/>
              </w:rPr>
            </w:pPr>
            <w:r>
              <w:rPr>
                <w:bCs/>
                <w:sz w:val="22"/>
                <w:szCs w:val="22"/>
              </w:rPr>
              <w:t>Следовательно</w:t>
            </w:r>
            <w:r w:rsidR="00F30559">
              <w:rPr>
                <w:bCs/>
                <w:sz w:val="22"/>
                <w:szCs w:val="22"/>
              </w:rPr>
              <w:t>,</w:t>
            </w:r>
            <w:r>
              <w:rPr>
                <w:bCs/>
                <w:sz w:val="22"/>
                <w:szCs w:val="22"/>
              </w:rPr>
              <w:t xml:space="preserve"> по общему правилу</w:t>
            </w:r>
            <w:r w:rsidR="00F30559" w:rsidRPr="00F30559">
              <w:rPr>
                <w:bCs/>
                <w:sz w:val="22"/>
                <w:szCs w:val="22"/>
              </w:rPr>
              <w:t xml:space="preserve"> у ОФР отсутствует обязанность включать информацию в отношении российской организации – международной компании, осуществившей редомициляцию в Российскую Федерацию, в состав финансовой информации, представляемой в соответствии с пунктом 1 статьи 142.2 Кодекса.</w:t>
            </w:r>
          </w:p>
          <w:p w14:paraId="4F15AA5F" w14:textId="2239FA36" w:rsidR="003E1FE1" w:rsidRPr="00F30559" w:rsidRDefault="00F30559" w:rsidP="00F30559">
            <w:pPr>
              <w:pStyle w:val="Default"/>
              <w:ind w:firstLine="738"/>
              <w:jc w:val="both"/>
              <w:rPr>
                <w:bCs/>
                <w:sz w:val="22"/>
                <w:szCs w:val="22"/>
              </w:rPr>
            </w:pPr>
            <w:r w:rsidRPr="00F30559">
              <w:rPr>
                <w:bCs/>
                <w:sz w:val="22"/>
                <w:szCs w:val="22"/>
              </w:rPr>
              <w:lastRenderedPageBreak/>
              <w:t>Одновременно сообщает, что если в соответствии с пунктом 11 Положения такая международная компания является пасс</w:t>
            </w:r>
            <w:r w:rsidR="00D540D3">
              <w:rPr>
                <w:bCs/>
                <w:sz w:val="22"/>
                <w:szCs w:val="22"/>
              </w:rPr>
              <w:t>ивной нефинансовой организацией (ПНФО)</w:t>
            </w:r>
            <w:r w:rsidRPr="00F30559">
              <w:rPr>
                <w:bCs/>
                <w:sz w:val="22"/>
                <w:szCs w:val="22"/>
              </w:rPr>
              <w:t>, а лица, прямо или косвенно контролирующие её, являются налоговыми резидентами иностранного государства (территории), то ОФР обязана предоставить информацию, предусмотренную подпунктом «а» пункта 3, подпунктом «б» пункта 5 и пунктом 6 Положения, независимо от того, является ли такой клиент ОФР (международная компания) налоговым резидентом иностранного государства (территории) или не является.</w:t>
            </w:r>
          </w:p>
          <w:p w14:paraId="0D35EE75" w14:textId="77777777" w:rsidR="00CD65ED" w:rsidRDefault="00CD65ED" w:rsidP="00CD65ED">
            <w:pPr>
              <w:pStyle w:val="Default"/>
              <w:ind w:firstLine="738"/>
              <w:jc w:val="both"/>
              <w:rPr>
                <w:b/>
                <w:bCs/>
                <w:sz w:val="22"/>
                <w:szCs w:val="22"/>
              </w:rPr>
            </w:pPr>
          </w:p>
        </w:tc>
      </w:tr>
    </w:tbl>
    <w:p w14:paraId="361FE349" w14:textId="77777777" w:rsidR="00CD65ED" w:rsidRDefault="00CD65ED" w:rsidP="005D5253">
      <w:pPr>
        <w:ind w:firstLine="709"/>
        <w:jc w:val="both"/>
      </w:pPr>
    </w:p>
    <w:tbl>
      <w:tblPr>
        <w:tblStyle w:val="11"/>
        <w:tblW w:w="10490" w:type="dxa"/>
        <w:tblLayout w:type="fixed"/>
        <w:tblLook w:val="0400" w:firstRow="0" w:lastRow="0" w:firstColumn="0" w:lastColumn="0" w:noHBand="0" w:noVBand="1"/>
      </w:tblPr>
      <w:tblGrid>
        <w:gridCol w:w="10490"/>
      </w:tblGrid>
      <w:tr w:rsidR="00F75D4E" w:rsidRPr="00AF5E31" w14:paraId="5EEE5407" w14:textId="77777777" w:rsidTr="007A0A56">
        <w:trPr>
          <w:trHeight w:val="110"/>
        </w:trPr>
        <w:tc>
          <w:tcPr>
            <w:tcW w:w="10490" w:type="dxa"/>
            <w:shd w:val="clear" w:color="auto" w:fill="0D76BB"/>
          </w:tcPr>
          <w:p w14:paraId="005F312E" w14:textId="77777777" w:rsidR="00F75D4E" w:rsidRPr="00AF5E31" w:rsidRDefault="007A0A56" w:rsidP="00F71824">
            <w:pPr>
              <w:pStyle w:val="Default"/>
              <w:jc w:val="center"/>
              <w:outlineLvl w:val="0"/>
              <w:rPr>
                <w:b/>
                <w:sz w:val="22"/>
                <w:szCs w:val="22"/>
              </w:rPr>
            </w:pPr>
            <w:bookmarkStart w:id="4" w:name="_Toc199961151"/>
            <w:r w:rsidRPr="00F75D4E">
              <w:rPr>
                <w:b/>
                <w:color w:val="FFFFFF" w:themeColor="background1"/>
                <w:sz w:val="22"/>
                <w:szCs w:val="22"/>
              </w:rPr>
              <w:t>XII. ПОДГОТОВКА ОТЧЕТНОСТИ</w:t>
            </w:r>
            <w:bookmarkEnd w:id="4"/>
          </w:p>
        </w:tc>
      </w:tr>
      <w:tr w:rsidR="00F75D4E" w14:paraId="2989C4FD" w14:textId="77777777" w:rsidTr="000C763E">
        <w:trPr>
          <w:cnfStyle w:val="000000010000" w:firstRow="0" w:lastRow="0" w:firstColumn="0" w:lastColumn="0" w:oddVBand="0" w:evenVBand="0" w:oddHBand="0" w:evenHBand="1" w:firstRowFirstColumn="0" w:firstRowLastColumn="0" w:lastRowFirstColumn="0" w:lastRowLastColumn="0"/>
          <w:trHeight w:val="110"/>
        </w:trPr>
        <w:tc>
          <w:tcPr>
            <w:tcW w:w="10490" w:type="dxa"/>
            <w:shd w:val="clear" w:color="auto" w:fill="DEEAF6" w:themeFill="accent1" w:themeFillTint="33"/>
          </w:tcPr>
          <w:p w14:paraId="781A71B9" w14:textId="7A772B1A" w:rsidR="00F75D4E" w:rsidRPr="00505D74" w:rsidRDefault="00203834" w:rsidP="00203834">
            <w:pPr>
              <w:pStyle w:val="Default"/>
              <w:jc w:val="both"/>
              <w:rPr>
                <w:b/>
                <w:bCs/>
                <w:sz w:val="22"/>
                <w:szCs w:val="22"/>
              </w:rPr>
            </w:pPr>
            <w:r w:rsidRPr="00D540D3">
              <w:rPr>
                <w:b/>
                <w:bCs/>
                <w:sz w:val="22"/>
                <w:szCs w:val="22"/>
              </w:rPr>
              <w:t>12.1</w:t>
            </w:r>
            <w:r w:rsidR="00D05E6E" w:rsidRPr="00D540D3">
              <w:rPr>
                <w:b/>
                <w:bCs/>
                <w:sz w:val="22"/>
                <w:szCs w:val="22"/>
              </w:rPr>
              <w:t xml:space="preserve"> Вопрос</w:t>
            </w:r>
            <w:r w:rsidR="00F75D4E" w:rsidRPr="00D540D3">
              <w:rPr>
                <w:b/>
                <w:bCs/>
                <w:sz w:val="22"/>
                <w:szCs w:val="22"/>
              </w:rPr>
              <w:t>:</w:t>
            </w:r>
            <w:r w:rsidR="00F75D4E" w:rsidRPr="002E7295">
              <w:rPr>
                <w:bCs/>
                <w:sz w:val="22"/>
                <w:szCs w:val="22"/>
              </w:rPr>
              <w:t xml:space="preserve"> </w:t>
            </w:r>
            <w:r w:rsidRPr="00505D74">
              <w:rPr>
                <w:bCs/>
                <w:sz w:val="22"/>
                <w:szCs w:val="22"/>
              </w:rPr>
              <w:t>Какую финансовую</w:t>
            </w:r>
            <w:r w:rsidR="00F75D4E" w:rsidRPr="00505D74">
              <w:rPr>
                <w:bCs/>
                <w:sz w:val="22"/>
                <w:szCs w:val="22"/>
              </w:rPr>
              <w:t xml:space="preserve"> информаци</w:t>
            </w:r>
            <w:r w:rsidRPr="00505D74">
              <w:rPr>
                <w:bCs/>
                <w:sz w:val="22"/>
                <w:szCs w:val="22"/>
              </w:rPr>
              <w:t>ю</w:t>
            </w:r>
            <w:r w:rsidR="00F75D4E" w:rsidRPr="00505D74">
              <w:rPr>
                <w:bCs/>
                <w:sz w:val="22"/>
                <w:szCs w:val="22"/>
              </w:rPr>
              <w:t xml:space="preserve"> в отношении клиента</w:t>
            </w:r>
            <w:r w:rsidR="00C33C42" w:rsidRPr="00505D74">
              <w:rPr>
                <w:bCs/>
                <w:sz w:val="22"/>
                <w:szCs w:val="22"/>
              </w:rPr>
              <w:t xml:space="preserve"> ОФР</w:t>
            </w:r>
            <w:r w:rsidR="00F75D4E" w:rsidRPr="00505D74">
              <w:rPr>
                <w:bCs/>
                <w:sz w:val="22"/>
                <w:szCs w:val="22"/>
              </w:rPr>
              <w:t>, контролирующего лица кли</w:t>
            </w:r>
            <w:r w:rsidR="00366515">
              <w:rPr>
                <w:bCs/>
                <w:sz w:val="22"/>
                <w:szCs w:val="22"/>
              </w:rPr>
              <w:t>ента ОФР необходимо включать в О</w:t>
            </w:r>
            <w:r w:rsidR="00F75D4E" w:rsidRPr="00505D74">
              <w:rPr>
                <w:bCs/>
                <w:sz w:val="22"/>
                <w:szCs w:val="22"/>
              </w:rPr>
              <w:t>тчет, если сведения об иностранном налоговом резидентстве стали известны ОФР только в году, следующим за отчетным.</w:t>
            </w:r>
          </w:p>
        </w:tc>
      </w:tr>
      <w:tr w:rsidR="00162861" w14:paraId="15669105" w14:textId="77777777" w:rsidTr="00162861">
        <w:trPr>
          <w:trHeight w:val="110"/>
        </w:trPr>
        <w:tc>
          <w:tcPr>
            <w:tcW w:w="10490" w:type="dxa"/>
            <w:shd w:val="clear" w:color="auto" w:fill="auto"/>
          </w:tcPr>
          <w:p w14:paraId="393B9223" w14:textId="77777777" w:rsidR="00162861" w:rsidRPr="00505D74" w:rsidRDefault="00162861" w:rsidP="00162861">
            <w:pPr>
              <w:pStyle w:val="Default"/>
              <w:ind w:firstLine="738"/>
              <w:jc w:val="both"/>
              <w:rPr>
                <w:bCs/>
                <w:sz w:val="22"/>
                <w:szCs w:val="22"/>
              </w:rPr>
            </w:pPr>
            <w:r w:rsidRPr="00505D74">
              <w:rPr>
                <w:b/>
                <w:bCs/>
                <w:sz w:val="22"/>
                <w:szCs w:val="22"/>
              </w:rPr>
              <w:t>Ответ:</w:t>
            </w:r>
            <w:r w:rsidRPr="00505D74">
              <w:rPr>
                <w:bCs/>
                <w:sz w:val="22"/>
                <w:szCs w:val="22"/>
              </w:rPr>
              <w:t xml:space="preserve"> Если в течение года, который следует за отчетным периодом, ОФР стала известна информация о том, что клиент и (или) контролирующее лицо клиента в отчетном году и (или) в предшествующих отчетных периодах являлся налоговым резидентом иностранного государства (территории), то ОФР обязана представить уточняющие сведения за те отчетные периоды, в которых клиент и (или) контролирующее лицо клиента являлся налоговым резидентом иностранного государства (территории).</w:t>
            </w:r>
          </w:p>
          <w:p w14:paraId="6D8EABED" w14:textId="3D6210CC" w:rsidR="00162861" w:rsidRPr="00505D74" w:rsidRDefault="00162861" w:rsidP="00162861">
            <w:pPr>
              <w:pStyle w:val="Default"/>
              <w:jc w:val="both"/>
              <w:rPr>
                <w:b/>
                <w:bCs/>
                <w:sz w:val="22"/>
                <w:szCs w:val="22"/>
                <w:highlight w:val="yellow"/>
              </w:rPr>
            </w:pPr>
            <w:r w:rsidRPr="00505D74">
              <w:rPr>
                <w:bCs/>
                <w:sz w:val="22"/>
                <w:szCs w:val="22"/>
              </w:rPr>
              <w:t>При этом ОФР согласно пункту 5 статьи 129.7 Кодекса освобождается от ответственности, если совершение налогового правонарушения обусловлено совершением клиентом ОФР деяния, предусмотренного статьей 129.7-1 Кодекса, то есть представление клиентом в ОФР неполной или недостоверной информации в отношении самого себя, выгодоприобретателя и (или) лиц, прямо или косвенно их контролирующих, которую ОФР запрашивает согласно статье 142.4 Кодекса.</w:t>
            </w:r>
          </w:p>
        </w:tc>
      </w:tr>
      <w:tr w:rsidR="00162861" w14:paraId="6EC38C84" w14:textId="77777777" w:rsidTr="000C763E">
        <w:trPr>
          <w:cnfStyle w:val="000000010000" w:firstRow="0" w:lastRow="0" w:firstColumn="0" w:lastColumn="0" w:oddVBand="0" w:evenVBand="0" w:oddHBand="0" w:evenHBand="1" w:firstRowFirstColumn="0" w:firstRowLastColumn="0" w:lastRowFirstColumn="0" w:lastRowLastColumn="0"/>
          <w:trHeight w:val="110"/>
        </w:trPr>
        <w:tc>
          <w:tcPr>
            <w:tcW w:w="10490" w:type="dxa"/>
            <w:shd w:val="clear" w:color="auto" w:fill="DEEAF6" w:themeFill="accent1" w:themeFillTint="33"/>
          </w:tcPr>
          <w:p w14:paraId="26538FE2" w14:textId="2DDF8FC7" w:rsidR="00162861" w:rsidRPr="00505D74" w:rsidRDefault="00162861" w:rsidP="00203834">
            <w:pPr>
              <w:pStyle w:val="Default"/>
              <w:jc w:val="both"/>
              <w:rPr>
                <w:b/>
                <w:bCs/>
                <w:sz w:val="22"/>
                <w:szCs w:val="22"/>
                <w:highlight w:val="yellow"/>
              </w:rPr>
            </w:pPr>
            <w:r w:rsidRPr="00D540D3">
              <w:rPr>
                <w:rFonts w:asciiTheme="minorHAnsi" w:hAnsiTheme="minorHAnsi" w:cstheme="minorHAnsi"/>
                <w:b/>
                <w:sz w:val="22"/>
                <w:szCs w:val="22"/>
              </w:rPr>
              <w:t>12.2 Вопрос:</w:t>
            </w:r>
            <w:r>
              <w:rPr>
                <w:rFonts w:asciiTheme="minorHAnsi" w:hAnsiTheme="minorHAnsi" w:cstheme="minorHAnsi"/>
                <w:sz w:val="22"/>
                <w:szCs w:val="22"/>
              </w:rPr>
              <w:t xml:space="preserve"> В какой валюте необходимо указывать стоимость договора/остатка на обезличенных металлических счетах </w:t>
            </w:r>
            <w:r w:rsidRPr="00A57AF9">
              <w:rPr>
                <w:bCs/>
                <w:sz w:val="22"/>
                <w:szCs w:val="22"/>
              </w:rPr>
              <w:t>в Отчет</w:t>
            </w:r>
            <w:r>
              <w:rPr>
                <w:bCs/>
                <w:sz w:val="22"/>
                <w:szCs w:val="22"/>
              </w:rPr>
              <w:t>е</w:t>
            </w:r>
            <w:r w:rsidRPr="00A57AF9">
              <w:rPr>
                <w:bCs/>
                <w:sz w:val="22"/>
                <w:szCs w:val="22"/>
              </w:rPr>
              <w:t xml:space="preserve"> CRS</w:t>
            </w:r>
            <w:r>
              <w:rPr>
                <w:bCs/>
                <w:sz w:val="22"/>
                <w:szCs w:val="22"/>
              </w:rPr>
              <w:t>?</w:t>
            </w:r>
          </w:p>
        </w:tc>
      </w:tr>
      <w:tr w:rsidR="00341101" w14:paraId="40E275EE" w14:textId="77777777" w:rsidTr="00341101">
        <w:trPr>
          <w:trHeight w:val="110"/>
        </w:trPr>
        <w:tc>
          <w:tcPr>
            <w:tcW w:w="10490" w:type="dxa"/>
            <w:shd w:val="clear" w:color="auto" w:fill="auto"/>
          </w:tcPr>
          <w:p w14:paraId="21A552EC" w14:textId="6D88A580" w:rsidR="0073646B" w:rsidRPr="0073646B" w:rsidRDefault="0073646B" w:rsidP="0073646B">
            <w:pPr>
              <w:autoSpaceDE w:val="0"/>
              <w:autoSpaceDN w:val="0"/>
              <w:adjustRightInd w:val="0"/>
              <w:ind w:firstLine="709"/>
              <w:jc w:val="both"/>
              <w:rPr>
                <w:bCs/>
              </w:rPr>
            </w:pPr>
            <w:r w:rsidRPr="00505D74">
              <w:rPr>
                <w:b/>
                <w:bCs/>
              </w:rPr>
              <w:t>Ответ:</w:t>
            </w:r>
            <w:r>
              <w:rPr>
                <w:b/>
                <w:bCs/>
              </w:rPr>
              <w:t xml:space="preserve"> </w:t>
            </w:r>
            <w:r w:rsidRPr="0073646B">
              <w:rPr>
                <w:bCs/>
              </w:rPr>
              <w:t xml:space="preserve">В соответствии с абзацем третьим пункта 1 статьи 142.2 Кодекса </w:t>
            </w:r>
            <w:r w:rsidR="006A615B">
              <w:rPr>
                <w:bCs/>
              </w:rPr>
              <w:t xml:space="preserve">финансовая </w:t>
            </w:r>
            <w:r w:rsidRPr="0073646B">
              <w:rPr>
                <w:bCs/>
              </w:rPr>
              <w:t>информация представляется ОФР по установленным форматам в электронной форме. Условия, порядок и сроки представления такой информации ОФР, ее состав устанавливаются Правительством Российской Федерации по согласованию с Центральным банком Российской Федерации.</w:t>
            </w:r>
          </w:p>
          <w:p w14:paraId="3BA451CC" w14:textId="35FDB8DB" w:rsidR="0073646B" w:rsidRPr="0073646B" w:rsidRDefault="0073646B" w:rsidP="0073646B">
            <w:pPr>
              <w:ind w:firstLine="709"/>
              <w:jc w:val="both"/>
              <w:rPr>
                <w:bCs/>
              </w:rPr>
            </w:pPr>
            <w:r w:rsidRPr="0073646B">
              <w:rPr>
                <w:bCs/>
              </w:rPr>
              <w:t>Согласно Формату элемент «Код валюты» Таблицы 4.22 «AccountBalance (Остаток по договору (счету ил его аналогу))» заполняется в соответствии с международным классификатором валют ISO 4217 Alpha 3, который относит драгоценные металлы к валютным ценностям и предусматривают для них соответствующие коды.</w:t>
            </w:r>
          </w:p>
          <w:p w14:paraId="278BFFD6" w14:textId="15B359D1" w:rsidR="00341101" w:rsidRPr="00505D74" w:rsidRDefault="0073646B" w:rsidP="0073646B">
            <w:pPr>
              <w:ind w:firstLine="709"/>
              <w:jc w:val="both"/>
              <w:rPr>
                <w:b/>
                <w:bCs/>
                <w:highlight w:val="yellow"/>
              </w:rPr>
            </w:pPr>
            <w:r w:rsidRPr="0073646B">
              <w:rPr>
                <w:bCs/>
              </w:rPr>
              <w:t>Так, согласно ISO 4217 Alpha 3 – код «XAU» обозначает тройскую унцию золота, «XPT» – тройскую унцию платины.</w:t>
            </w:r>
          </w:p>
        </w:tc>
      </w:tr>
      <w:tr w:rsidR="00341101" w14:paraId="02A964BB" w14:textId="77777777" w:rsidTr="000C763E">
        <w:trPr>
          <w:cnfStyle w:val="000000010000" w:firstRow="0" w:lastRow="0" w:firstColumn="0" w:lastColumn="0" w:oddVBand="0" w:evenVBand="0" w:oddHBand="0" w:evenHBand="1" w:firstRowFirstColumn="0" w:firstRowLastColumn="0" w:lastRowFirstColumn="0" w:lastRowLastColumn="0"/>
          <w:trHeight w:val="110"/>
        </w:trPr>
        <w:tc>
          <w:tcPr>
            <w:tcW w:w="10490" w:type="dxa"/>
            <w:shd w:val="clear" w:color="auto" w:fill="DEEAF6" w:themeFill="accent1" w:themeFillTint="33"/>
          </w:tcPr>
          <w:p w14:paraId="5113E0F1" w14:textId="342B84DC" w:rsidR="00341101" w:rsidRPr="00505D74" w:rsidRDefault="00162861" w:rsidP="00203834">
            <w:pPr>
              <w:pStyle w:val="Default"/>
              <w:jc w:val="both"/>
              <w:rPr>
                <w:b/>
                <w:bCs/>
                <w:sz w:val="22"/>
                <w:szCs w:val="22"/>
                <w:highlight w:val="yellow"/>
              </w:rPr>
            </w:pPr>
            <w:r w:rsidRPr="00D540D3">
              <w:rPr>
                <w:rFonts w:asciiTheme="minorHAnsi" w:hAnsiTheme="minorHAnsi" w:cstheme="minorHAnsi"/>
                <w:b/>
                <w:sz w:val="22"/>
                <w:szCs w:val="22"/>
              </w:rPr>
              <w:t>12.3</w:t>
            </w:r>
            <w:r w:rsidR="00341101" w:rsidRPr="00D540D3">
              <w:rPr>
                <w:rFonts w:asciiTheme="minorHAnsi" w:hAnsiTheme="minorHAnsi" w:cstheme="minorHAnsi"/>
                <w:b/>
                <w:sz w:val="22"/>
                <w:szCs w:val="22"/>
              </w:rPr>
              <w:t xml:space="preserve"> Вопрос:</w:t>
            </w:r>
            <w:r w:rsidR="00341101" w:rsidRPr="002E7295">
              <w:rPr>
                <w:rFonts w:asciiTheme="minorHAnsi" w:hAnsiTheme="minorHAnsi" w:cstheme="minorHAnsi"/>
                <w:sz w:val="22"/>
                <w:szCs w:val="22"/>
              </w:rPr>
              <w:t xml:space="preserve"> </w:t>
            </w:r>
            <w:r w:rsidR="00341101">
              <w:rPr>
                <w:rFonts w:asciiTheme="minorHAnsi" w:hAnsiTheme="minorHAnsi" w:cstheme="minorHAnsi"/>
                <w:sz w:val="22"/>
                <w:szCs w:val="22"/>
              </w:rPr>
              <w:t>В рамках депозитарного обслуживания на каких счетах (брокерском или счете депо)</w:t>
            </w:r>
            <w:r w:rsidR="00341101" w:rsidRPr="00334227">
              <w:rPr>
                <w:rFonts w:asciiTheme="minorHAnsi" w:hAnsiTheme="minorHAnsi" w:cstheme="minorHAnsi"/>
                <w:sz w:val="22"/>
                <w:szCs w:val="22"/>
              </w:rPr>
              <w:t xml:space="preserve"> необходимо отражать полученные клиентами доходы, </w:t>
            </w:r>
            <w:r w:rsidR="00341101">
              <w:rPr>
                <w:rFonts w:asciiTheme="minorHAnsi" w:hAnsiTheme="minorHAnsi" w:cstheme="minorHAnsi"/>
                <w:sz w:val="22"/>
                <w:szCs w:val="22"/>
              </w:rPr>
              <w:t>суммы</w:t>
            </w:r>
            <w:r w:rsidR="00341101" w:rsidRPr="00334227">
              <w:rPr>
                <w:rFonts w:asciiTheme="minorHAnsi" w:hAnsiTheme="minorHAnsi" w:cstheme="minorHAnsi"/>
                <w:sz w:val="22"/>
                <w:szCs w:val="22"/>
              </w:rPr>
              <w:t xml:space="preserve"> дивидендов, процентного (</w:t>
            </w:r>
            <w:r w:rsidR="00341101">
              <w:rPr>
                <w:rFonts w:asciiTheme="minorHAnsi" w:hAnsiTheme="minorHAnsi" w:cstheme="minorHAnsi"/>
                <w:sz w:val="22"/>
                <w:szCs w:val="22"/>
              </w:rPr>
              <w:t>купонного) дохода, а также общие суммы</w:t>
            </w:r>
            <w:r w:rsidR="00341101" w:rsidRPr="00334227">
              <w:rPr>
                <w:rFonts w:asciiTheme="minorHAnsi" w:hAnsiTheme="minorHAnsi" w:cstheme="minorHAnsi"/>
                <w:sz w:val="22"/>
                <w:szCs w:val="22"/>
              </w:rPr>
              <w:t xml:space="preserve"> выплат, совершенных в течение отчетного перио</w:t>
            </w:r>
            <w:r w:rsidR="00341101">
              <w:rPr>
                <w:rFonts w:asciiTheme="minorHAnsi" w:hAnsiTheme="minorHAnsi" w:cstheme="minorHAnsi"/>
                <w:sz w:val="22"/>
                <w:szCs w:val="22"/>
              </w:rPr>
              <w:t>да, при погашении ценных бумаг?</w:t>
            </w:r>
          </w:p>
        </w:tc>
      </w:tr>
      <w:tr w:rsidR="00F75D4E" w14:paraId="7EC12FCB" w14:textId="77777777" w:rsidTr="00F75D4E">
        <w:trPr>
          <w:trHeight w:val="110"/>
        </w:trPr>
        <w:tc>
          <w:tcPr>
            <w:tcW w:w="1049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61BC2B" w14:textId="77777777" w:rsidR="00341101" w:rsidRPr="00907CB4" w:rsidRDefault="00341101" w:rsidP="00341101">
            <w:pPr>
              <w:ind w:firstLine="709"/>
              <w:contextualSpacing/>
              <w:jc w:val="both"/>
              <w:rPr>
                <w:rFonts w:cstheme="minorHAnsi"/>
                <w:color w:val="000000"/>
              </w:rPr>
            </w:pPr>
            <w:r w:rsidRPr="00334227">
              <w:rPr>
                <w:rFonts w:cstheme="minorHAnsi"/>
                <w:b/>
              </w:rPr>
              <w:t>Ответ:</w:t>
            </w:r>
            <w:r w:rsidRPr="00334227">
              <w:rPr>
                <w:rFonts w:cstheme="minorHAnsi"/>
              </w:rPr>
              <w:t xml:space="preserve"> </w:t>
            </w:r>
            <w:r w:rsidRPr="00907CB4">
              <w:rPr>
                <w:rFonts w:cstheme="minorHAnsi"/>
                <w:color w:val="000000"/>
              </w:rPr>
              <w:t xml:space="preserve">Согласно пункту «в» пункта 6 Положения финансовая информация о договоре, предусматривающем оказание финансовой услуги, включает в себя </w:t>
            </w:r>
            <w:r>
              <w:rPr>
                <w:rFonts w:cstheme="minorHAnsi"/>
                <w:color w:val="000000"/>
              </w:rPr>
              <w:t xml:space="preserve">как </w:t>
            </w:r>
            <w:r w:rsidRPr="00907CB4">
              <w:rPr>
                <w:rFonts w:cstheme="minorHAnsi"/>
                <w:color w:val="000000"/>
              </w:rPr>
              <w:t xml:space="preserve">в отношении договора об оказании депозитарных услуг, </w:t>
            </w:r>
            <w:r>
              <w:rPr>
                <w:rFonts w:cstheme="minorHAnsi"/>
                <w:color w:val="000000"/>
              </w:rPr>
              <w:t>так и</w:t>
            </w:r>
            <w:r w:rsidRPr="00907CB4">
              <w:rPr>
                <w:rFonts w:cstheme="minorHAnsi"/>
                <w:color w:val="000000"/>
              </w:rPr>
              <w:t xml:space="preserve"> договора о брокерском обслуживании – общ</w:t>
            </w:r>
            <w:r>
              <w:rPr>
                <w:rFonts w:cstheme="minorHAnsi"/>
                <w:color w:val="000000"/>
              </w:rPr>
              <w:t>ую</w:t>
            </w:r>
            <w:r w:rsidRPr="00907CB4">
              <w:rPr>
                <w:rFonts w:cstheme="minorHAnsi"/>
                <w:color w:val="000000"/>
              </w:rPr>
              <w:t xml:space="preserve"> сумм</w:t>
            </w:r>
            <w:r>
              <w:rPr>
                <w:rFonts w:cstheme="minorHAnsi"/>
                <w:color w:val="000000"/>
              </w:rPr>
              <w:t>у</w:t>
            </w:r>
            <w:r w:rsidRPr="00907CB4">
              <w:rPr>
                <w:rFonts w:cstheme="minorHAnsi"/>
                <w:color w:val="000000"/>
              </w:rPr>
              <w:t xml:space="preserve"> процентного (купонного) дохода, дивидендов, иных доходов, выплаченных в отношении принадлежащих клиенту ценных бумаг в течение отчетного периода, а также общая сумм</w:t>
            </w:r>
            <w:r>
              <w:rPr>
                <w:rFonts w:cstheme="minorHAnsi"/>
                <w:color w:val="000000"/>
              </w:rPr>
              <w:t>у</w:t>
            </w:r>
            <w:r w:rsidRPr="00907CB4">
              <w:rPr>
                <w:rFonts w:cstheme="minorHAnsi"/>
                <w:color w:val="000000"/>
              </w:rPr>
              <w:t xml:space="preserve"> выплат, совершенных в течение отчетного периода, при погашении ценных бумаг, принадлежащих клиенту, или выплат при уменьшении уставного (складочного) капитала или аналогичных выплат в отношении ценных бумаг, принадлежащих клиенту, а также общ</w:t>
            </w:r>
            <w:r>
              <w:rPr>
                <w:rFonts w:cstheme="minorHAnsi"/>
                <w:color w:val="000000"/>
              </w:rPr>
              <w:t>ую</w:t>
            </w:r>
            <w:r w:rsidRPr="00907CB4">
              <w:rPr>
                <w:rFonts w:cstheme="minorHAnsi"/>
                <w:color w:val="000000"/>
              </w:rPr>
              <w:t xml:space="preserve"> сумм</w:t>
            </w:r>
            <w:r>
              <w:rPr>
                <w:rFonts w:cstheme="minorHAnsi"/>
                <w:color w:val="000000"/>
              </w:rPr>
              <w:t>у</w:t>
            </w:r>
            <w:r w:rsidRPr="00907CB4">
              <w:rPr>
                <w:rFonts w:cstheme="minorHAnsi"/>
                <w:color w:val="000000"/>
              </w:rPr>
              <w:t xml:space="preserve"> выплат, полученных в результате отчуждения ценных бумаг, принадлежащих клиенту.</w:t>
            </w:r>
          </w:p>
          <w:p w14:paraId="2F7CA21A" w14:textId="77777777" w:rsidR="00341101" w:rsidRDefault="00341101" w:rsidP="00341101">
            <w:pPr>
              <w:pStyle w:val="Default"/>
              <w:ind w:firstLine="709"/>
              <w:jc w:val="both"/>
              <w:rPr>
                <w:rFonts w:asciiTheme="minorHAnsi" w:hAnsiTheme="minorHAnsi" w:cstheme="minorHAnsi"/>
                <w:sz w:val="22"/>
                <w:szCs w:val="22"/>
              </w:rPr>
            </w:pPr>
            <w:r>
              <w:rPr>
                <w:rFonts w:asciiTheme="minorHAnsi" w:hAnsiTheme="minorHAnsi" w:cstheme="minorHAnsi"/>
                <w:sz w:val="22"/>
                <w:szCs w:val="22"/>
              </w:rPr>
              <w:t>Поэтому, п</w:t>
            </w:r>
            <w:r w:rsidRPr="00907CB4">
              <w:rPr>
                <w:rFonts w:asciiTheme="minorHAnsi" w:hAnsiTheme="minorHAnsi" w:cstheme="minorHAnsi"/>
                <w:sz w:val="22"/>
                <w:szCs w:val="22"/>
              </w:rPr>
              <w:t>о общему правилу, сумма дивидендов, процентного (купонного) дохода, а также общая сумма выплат, совершенных в течение отчетного периода, при погашении ценных бумаг,</w:t>
            </w:r>
            <w:r>
              <w:rPr>
                <w:rFonts w:asciiTheme="minorHAnsi" w:hAnsiTheme="minorHAnsi" w:cstheme="minorHAnsi"/>
                <w:sz w:val="22"/>
                <w:szCs w:val="22"/>
              </w:rPr>
              <w:t xml:space="preserve"> могут</w:t>
            </w:r>
            <w:r w:rsidRPr="00907CB4">
              <w:rPr>
                <w:rFonts w:asciiTheme="minorHAnsi" w:hAnsiTheme="minorHAnsi" w:cstheme="minorHAnsi"/>
                <w:sz w:val="22"/>
                <w:szCs w:val="22"/>
              </w:rPr>
              <w:t xml:space="preserve"> отража</w:t>
            </w:r>
            <w:r>
              <w:rPr>
                <w:rFonts w:asciiTheme="minorHAnsi" w:hAnsiTheme="minorHAnsi" w:cstheme="minorHAnsi"/>
                <w:sz w:val="22"/>
                <w:szCs w:val="22"/>
              </w:rPr>
              <w:t>ться</w:t>
            </w:r>
            <w:r w:rsidRPr="00907CB4">
              <w:rPr>
                <w:rFonts w:asciiTheme="minorHAnsi" w:hAnsiTheme="minorHAnsi" w:cstheme="minorHAnsi"/>
                <w:sz w:val="22"/>
                <w:szCs w:val="22"/>
              </w:rPr>
              <w:t xml:space="preserve"> как по счетам клиентов, открытых по договору об оказании депозитарных услуг (счета депо), так и по счетам </w:t>
            </w:r>
            <w:r>
              <w:rPr>
                <w:rFonts w:asciiTheme="minorHAnsi" w:hAnsiTheme="minorHAnsi" w:cstheme="minorHAnsi"/>
                <w:sz w:val="22"/>
                <w:szCs w:val="22"/>
              </w:rPr>
              <w:t xml:space="preserve">этих же </w:t>
            </w:r>
            <w:r w:rsidRPr="00907CB4">
              <w:rPr>
                <w:rFonts w:asciiTheme="minorHAnsi" w:hAnsiTheme="minorHAnsi" w:cstheme="minorHAnsi"/>
                <w:sz w:val="22"/>
                <w:szCs w:val="22"/>
              </w:rPr>
              <w:t>клиентов, открытых по договору о брокерском обслуживании (брокерские счета).</w:t>
            </w:r>
          </w:p>
          <w:p w14:paraId="1099FE65" w14:textId="5B63892C" w:rsidR="00F75D4E" w:rsidRPr="00505D74" w:rsidRDefault="00341101" w:rsidP="00341101">
            <w:pPr>
              <w:pStyle w:val="Default"/>
              <w:ind w:firstLine="738"/>
              <w:jc w:val="both"/>
              <w:rPr>
                <w:b/>
                <w:bCs/>
                <w:sz w:val="22"/>
                <w:szCs w:val="22"/>
              </w:rPr>
            </w:pPr>
            <w:r>
              <w:rPr>
                <w:rFonts w:asciiTheme="minorHAnsi" w:hAnsiTheme="minorHAnsi" w:cstheme="minorHAnsi"/>
                <w:sz w:val="22"/>
                <w:szCs w:val="22"/>
              </w:rPr>
              <w:t>П</w:t>
            </w:r>
            <w:r w:rsidRPr="00907CB4">
              <w:rPr>
                <w:rFonts w:asciiTheme="minorHAnsi" w:hAnsiTheme="minorHAnsi" w:cstheme="minorHAnsi"/>
                <w:sz w:val="22"/>
                <w:szCs w:val="22"/>
              </w:rPr>
              <w:t xml:space="preserve">ри наличии у клиента одновременно брокерского и депозитарного счетов, открытых в одной и той же ОФР, доход и выплаты, начисленные клиенту в отношении ценных бумаг, учитываемых в рамках договора депозитарного обслуживания, и зачисленных на его брокерский или текущий (расчетный) счет (при наличии заявления клиента), ОФР для целей представления </w:t>
            </w:r>
            <w:r>
              <w:rPr>
                <w:rFonts w:asciiTheme="minorHAnsi" w:hAnsiTheme="minorHAnsi" w:cstheme="minorHAnsi"/>
                <w:sz w:val="22"/>
                <w:szCs w:val="22"/>
              </w:rPr>
              <w:t>О</w:t>
            </w:r>
            <w:r w:rsidRPr="00907CB4">
              <w:rPr>
                <w:rFonts w:asciiTheme="minorHAnsi" w:hAnsiTheme="minorHAnsi" w:cstheme="minorHAnsi"/>
                <w:sz w:val="22"/>
                <w:szCs w:val="22"/>
              </w:rPr>
              <w:t>тчетности</w:t>
            </w:r>
            <w:r>
              <w:rPr>
                <w:rFonts w:asciiTheme="minorHAnsi" w:hAnsiTheme="minorHAnsi" w:cstheme="minorHAnsi"/>
                <w:sz w:val="22"/>
                <w:szCs w:val="22"/>
              </w:rPr>
              <w:t xml:space="preserve"> вправе</w:t>
            </w:r>
            <w:r w:rsidRPr="00907CB4">
              <w:rPr>
                <w:rFonts w:asciiTheme="minorHAnsi" w:hAnsiTheme="minorHAnsi" w:cstheme="minorHAnsi"/>
                <w:sz w:val="22"/>
                <w:szCs w:val="22"/>
              </w:rPr>
              <w:t xml:space="preserve"> отражать такие доходы (выплаты) либо на депозитарном счёте, либо на брокерском счёте, при условии избежания задвоения одного и того дохода (выплаты) на указанных счетах.</w:t>
            </w:r>
          </w:p>
        </w:tc>
      </w:tr>
      <w:tr w:rsidR="00505D74" w14:paraId="0FFE95B3" w14:textId="77777777" w:rsidTr="00F75D4E">
        <w:trPr>
          <w:cnfStyle w:val="000000010000" w:firstRow="0" w:lastRow="0" w:firstColumn="0" w:lastColumn="0" w:oddVBand="0" w:evenVBand="0" w:oddHBand="0" w:evenHBand="1" w:firstRowFirstColumn="0" w:firstRowLastColumn="0" w:lastRowFirstColumn="0" w:lastRowLastColumn="0"/>
          <w:trHeight w:val="110"/>
        </w:trPr>
        <w:tc>
          <w:tcPr>
            <w:tcW w:w="10490" w:type="dxa"/>
          </w:tcPr>
          <w:p w14:paraId="71D83F3A" w14:textId="2540A0EB" w:rsidR="00505D74" w:rsidRPr="009B32B7" w:rsidRDefault="00505D74" w:rsidP="00505D74">
            <w:pPr>
              <w:pStyle w:val="Default"/>
              <w:jc w:val="both"/>
              <w:rPr>
                <w:b/>
                <w:bCs/>
                <w:sz w:val="22"/>
                <w:szCs w:val="22"/>
                <w:highlight w:val="green"/>
              </w:rPr>
            </w:pPr>
            <w:r w:rsidRPr="00D540D3">
              <w:rPr>
                <w:b/>
                <w:bCs/>
                <w:sz w:val="22"/>
                <w:szCs w:val="22"/>
              </w:rPr>
              <w:t>12</w:t>
            </w:r>
            <w:r w:rsidR="00162861" w:rsidRPr="00D540D3">
              <w:rPr>
                <w:b/>
                <w:bCs/>
                <w:sz w:val="22"/>
                <w:szCs w:val="22"/>
              </w:rPr>
              <w:t>.4</w:t>
            </w:r>
            <w:r w:rsidRPr="00D540D3">
              <w:rPr>
                <w:b/>
                <w:bCs/>
                <w:sz w:val="22"/>
                <w:szCs w:val="22"/>
              </w:rPr>
              <w:t xml:space="preserve"> Вопрос</w:t>
            </w:r>
            <w:r w:rsidR="00D540D3" w:rsidRPr="00D540D3">
              <w:rPr>
                <w:b/>
                <w:bCs/>
                <w:sz w:val="22"/>
                <w:szCs w:val="22"/>
              </w:rPr>
              <w:t xml:space="preserve"> (нов)</w:t>
            </w:r>
            <w:r w:rsidRPr="00D540D3">
              <w:rPr>
                <w:b/>
                <w:bCs/>
                <w:sz w:val="22"/>
                <w:szCs w:val="22"/>
              </w:rPr>
              <w:t>:</w:t>
            </w:r>
            <w:r w:rsidRPr="009B32B7">
              <w:rPr>
                <w:b/>
                <w:bCs/>
                <w:sz w:val="22"/>
                <w:szCs w:val="22"/>
              </w:rPr>
              <w:t xml:space="preserve"> </w:t>
            </w:r>
            <w:r w:rsidRPr="009B32B7">
              <w:rPr>
                <w:bCs/>
                <w:sz w:val="22"/>
                <w:szCs w:val="22"/>
              </w:rPr>
              <w:t>Необходимо ли указывать полную сумму, включая НДФЛ, в разделе «Выплаты/поступления» отчета?</w:t>
            </w:r>
          </w:p>
        </w:tc>
      </w:tr>
      <w:tr w:rsidR="00505D74" w14:paraId="70E96670" w14:textId="77777777" w:rsidTr="00F75D4E">
        <w:trPr>
          <w:trHeight w:val="110"/>
        </w:trPr>
        <w:tc>
          <w:tcPr>
            <w:tcW w:w="1049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B6F2FE" w14:textId="615172BF" w:rsidR="00615B3F" w:rsidRPr="00615B3F" w:rsidRDefault="00505D74" w:rsidP="00615B3F">
            <w:pPr>
              <w:pStyle w:val="Default"/>
              <w:ind w:firstLine="738"/>
              <w:jc w:val="both"/>
              <w:rPr>
                <w:bCs/>
                <w:sz w:val="22"/>
                <w:szCs w:val="22"/>
              </w:rPr>
            </w:pPr>
            <w:r w:rsidRPr="00ED0017">
              <w:rPr>
                <w:b/>
                <w:bCs/>
                <w:sz w:val="22"/>
                <w:szCs w:val="22"/>
              </w:rPr>
              <w:t xml:space="preserve">Ответ: </w:t>
            </w:r>
            <w:r w:rsidR="00615B3F" w:rsidRPr="00ED0017">
              <w:rPr>
                <w:bCs/>
                <w:sz w:val="22"/>
                <w:szCs w:val="22"/>
              </w:rPr>
              <w:t>Нормы</w:t>
            </w:r>
            <w:r w:rsidR="00615B3F" w:rsidRPr="00615B3F">
              <w:rPr>
                <w:bCs/>
                <w:sz w:val="22"/>
                <w:szCs w:val="22"/>
              </w:rPr>
              <w:t xml:space="preserve"> подпунктов "в)" - "д)" </w:t>
            </w:r>
            <w:r w:rsidR="00615B3F">
              <w:rPr>
                <w:bCs/>
                <w:sz w:val="22"/>
                <w:szCs w:val="22"/>
              </w:rPr>
              <w:t xml:space="preserve">пункта 6 Положения </w:t>
            </w:r>
            <w:r w:rsidR="00615B3F" w:rsidRPr="00615B3F">
              <w:rPr>
                <w:bCs/>
                <w:sz w:val="22"/>
                <w:szCs w:val="22"/>
              </w:rPr>
              <w:t xml:space="preserve">детализируют виды доходов, которые подлежат отражению в подотчетном договоре, в зависимости от вида договора, предусматривающего </w:t>
            </w:r>
            <w:r w:rsidR="00615B3F" w:rsidRPr="00615B3F">
              <w:rPr>
                <w:bCs/>
                <w:sz w:val="22"/>
                <w:szCs w:val="22"/>
              </w:rPr>
              <w:lastRenderedPageBreak/>
              <w:t>оказание финансовой услуги, заключенного ОФР с клиентом. При этом использование формулировок "начисленные" и "выплаченные" не подразумевает, что в первом случае сумма дохода указывается "включая НДФЛ", а во втором - "за вычетом НДФЛ".</w:t>
            </w:r>
          </w:p>
          <w:p w14:paraId="1B94AB5B" w14:textId="77777777" w:rsidR="00615B3F" w:rsidRPr="00615B3F" w:rsidRDefault="00615B3F" w:rsidP="00615B3F">
            <w:pPr>
              <w:pStyle w:val="Default"/>
              <w:ind w:firstLine="738"/>
              <w:jc w:val="both"/>
              <w:rPr>
                <w:bCs/>
                <w:sz w:val="22"/>
                <w:szCs w:val="22"/>
              </w:rPr>
            </w:pPr>
            <w:r w:rsidRPr="00615B3F">
              <w:rPr>
                <w:bCs/>
                <w:sz w:val="22"/>
                <w:szCs w:val="22"/>
              </w:rPr>
              <w:t>Вышеуказанные суммы доходов ("выплаченные и (или) начисленные") являются стоимостным результатом исполнения обязательств, которые возникли у ОФР перед клиентов в рамках гражданско-правовых отношений. В то же время уплата налога, в частности НДФЛ в рассматриваемом вопросе, является обязанностью клиента-налогоплательщика, которая возникает в силу публично-правовых отношений.</w:t>
            </w:r>
          </w:p>
          <w:p w14:paraId="317E7490" w14:textId="77777777" w:rsidR="00615B3F" w:rsidRPr="00615B3F" w:rsidRDefault="00615B3F" w:rsidP="00615B3F">
            <w:pPr>
              <w:pStyle w:val="Default"/>
              <w:ind w:firstLine="738"/>
              <w:jc w:val="both"/>
              <w:rPr>
                <w:bCs/>
                <w:sz w:val="22"/>
                <w:szCs w:val="22"/>
              </w:rPr>
            </w:pPr>
            <w:r w:rsidRPr="00615B3F">
              <w:rPr>
                <w:bCs/>
                <w:sz w:val="22"/>
                <w:szCs w:val="22"/>
              </w:rPr>
              <w:t>Тот факт, что при определенных условиях ОФР удерживает и перечисляет в бюджет налог за клиента-налогоплательщика, не приводит к изменению стоимостного результата исполнения обязательств ОФР перед клиентом в рамках гражданско-правовых отношений. Например, в соответствии с пунктом 5 статьи 226 Кодекса налоговый агент может не удержать у налогоплательщика исчисленную сумму налога, однако это не означает, что сумма исполненных обязательств ОФР перед клиентом выросла, и наоборот (если удержал налог, то сумма обязательств перед клиентом уменьшилась).</w:t>
            </w:r>
          </w:p>
          <w:p w14:paraId="403B1539" w14:textId="523C9BFA" w:rsidR="009E3ECE" w:rsidRDefault="00615B3F" w:rsidP="00615B3F">
            <w:pPr>
              <w:pStyle w:val="Default"/>
              <w:ind w:firstLine="738"/>
              <w:jc w:val="both"/>
              <w:rPr>
                <w:bCs/>
                <w:sz w:val="22"/>
                <w:szCs w:val="22"/>
              </w:rPr>
            </w:pPr>
            <w:r w:rsidRPr="00615B3F">
              <w:rPr>
                <w:bCs/>
                <w:sz w:val="22"/>
                <w:szCs w:val="22"/>
              </w:rPr>
              <w:t xml:space="preserve">Следовательно, </w:t>
            </w:r>
            <w:r w:rsidRPr="003C581C">
              <w:rPr>
                <w:bCs/>
                <w:sz w:val="22"/>
                <w:szCs w:val="22"/>
              </w:rPr>
              <w:t xml:space="preserve">в </w:t>
            </w:r>
            <w:r w:rsidRPr="00615B3F">
              <w:rPr>
                <w:bCs/>
                <w:sz w:val="22"/>
                <w:szCs w:val="22"/>
              </w:rPr>
              <w:t>в элементе "Выплаты/поступления по договору (счету или его аналогу)" (&lt;Payment&gt;, Таблица 4.23 Формата) указывается полная сумма доходов клиентов, выгодоприобретателей и (или) лиц, прямо или косвенно их контролирующих, "включая НДФЛ".</w:t>
            </w:r>
          </w:p>
          <w:p w14:paraId="76994498" w14:textId="554950A5" w:rsidR="009E3ECE" w:rsidRPr="00615B3F" w:rsidRDefault="009E3ECE" w:rsidP="00615B3F">
            <w:pPr>
              <w:pStyle w:val="Default"/>
              <w:ind w:firstLine="738"/>
              <w:jc w:val="both"/>
              <w:rPr>
                <w:b/>
                <w:bCs/>
                <w:sz w:val="22"/>
                <w:szCs w:val="22"/>
                <w:highlight w:val="green"/>
              </w:rPr>
            </w:pPr>
          </w:p>
        </w:tc>
      </w:tr>
      <w:tr w:rsidR="00505D74" w14:paraId="0985C82D" w14:textId="77777777" w:rsidTr="00F75D4E">
        <w:trPr>
          <w:cnfStyle w:val="000000010000" w:firstRow="0" w:lastRow="0" w:firstColumn="0" w:lastColumn="0" w:oddVBand="0" w:evenVBand="0" w:oddHBand="0" w:evenHBand="1" w:firstRowFirstColumn="0" w:firstRowLastColumn="0" w:lastRowFirstColumn="0" w:lastRowLastColumn="0"/>
          <w:trHeight w:val="110"/>
        </w:trPr>
        <w:tc>
          <w:tcPr>
            <w:tcW w:w="10490" w:type="dxa"/>
          </w:tcPr>
          <w:p w14:paraId="0D8384AE" w14:textId="692617CF" w:rsidR="00505D74" w:rsidRPr="00505D74" w:rsidRDefault="00505D74" w:rsidP="00505D74">
            <w:pPr>
              <w:pStyle w:val="Default"/>
              <w:jc w:val="both"/>
              <w:rPr>
                <w:b/>
                <w:bCs/>
                <w:sz w:val="22"/>
                <w:szCs w:val="22"/>
              </w:rPr>
            </w:pPr>
            <w:r w:rsidRPr="00D540D3">
              <w:rPr>
                <w:rFonts w:cstheme="minorHAnsi"/>
                <w:b/>
                <w:sz w:val="22"/>
                <w:szCs w:val="22"/>
              </w:rPr>
              <w:lastRenderedPageBreak/>
              <w:t>12.</w:t>
            </w:r>
            <w:r w:rsidR="00162861" w:rsidRPr="00D540D3">
              <w:rPr>
                <w:rFonts w:cstheme="minorHAnsi"/>
                <w:b/>
                <w:sz w:val="22"/>
                <w:szCs w:val="22"/>
              </w:rPr>
              <w:t>5</w:t>
            </w:r>
            <w:r w:rsidRPr="00D540D3">
              <w:rPr>
                <w:rFonts w:cstheme="minorHAnsi"/>
                <w:b/>
                <w:sz w:val="22"/>
                <w:szCs w:val="22"/>
              </w:rPr>
              <w:t xml:space="preserve"> Вопрос:</w:t>
            </w:r>
            <w:r w:rsidRPr="00505D74">
              <w:rPr>
                <w:rFonts w:cstheme="minorHAnsi"/>
                <w:sz w:val="22"/>
                <w:szCs w:val="22"/>
              </w:rPr>
              <w:t xml:space="preserve"> Организация получила лицензию Банка России на осуществление деятельности по управлению инвестиционными фондами. С какого момента у вновь созданной ОФР наступает обязанность представлять уполномоченному органу финансовую информацию о клиентах, выгодоприобретателях и (или) лицах, прямо или косвенно их контролирующих?</w:t>
            </w:r>
          </w:p>
        </w:tc>
      </w:tr>
      <w:tr w:rsidR="00505D74" w14:paraId="705BC59C" w14:textId="77777777" w:rsidTr="00F75D4E">
        <w:trPr>
          <w:trHeight w:val="110"/>
        </w:trPr>
        <w:tc>
          <w:tcPr>
            <w:tcW w:w="1049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840130" w14:textId="5EF2DBEA" w:rsidR="00ED0017" w:rsidRPr="00505D74" w:rsidRDefault="00505D74" w:rsidP="00505D74">
            <w:pPr>
              <w:pStyle w:val="Default"/>
              <w:ind w:firstLine="738"/>
              <w:jc w:val="both"/>
              <w:rPr>
                <w:bCs/>
                <w:sz w:val="22"/>
                <w:szCs w:val="22"/>
              </w:rPr>
            </w:pPr>
            <w:r w:rsidRPr="00505D74">
              <w:rPr>
                <w:b/>
                <w:bCs/>
                <w:sz w:val="22"/>
                <w:szCs w:val="22"/>
              </w:rPr>
              <w:t xml:space="preserve">Ответ: </w:t>
            </w:r>
            <w:r w:rsidRPr="00505D74">
              <w:rPr>
                <w:bCs/>
                <w:sz w:val="22"/>
                <w:szCs w:val="22"/>
              </w:rPr>
              <w:t>ОФР следует уже начиная с момента выдачи Банком России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устанавливать клиентов, выгодоприобретателей и (или) лих, прямо или косвенно их контролирующих, в отношении которых на основании мероприятий, установленных пунктом 1 статьи 142.4 Кодекса, или имеющейся у ОФР информации выявлено, что они являются налоговыми резидентами иностранных государств (территорий).</w:t>
            </w:r>
            <w:r w:rsidR="00ED0017">
              <w:rPr>
                <w:bCs/>
                <w:sz w:val="22"/>
                <w:szCs w:val="22"/>
              </w:rPr>
              <w:t xml:space="preserve"> </w:t>
            </w:r>
          </w:p>
          <w:p w14:paraId="6F467690" w14:textId="7A38AD71" w:rsidR="00ED0017" w:rsidRDefault="00505D74" w:rsidP="00ED0017">
            <w:pPr>
              <w:pStyle w:val="Default"/>
              <w:ind w:firstLine="738"/>
              <w:jc w:val="both"/>
              <w:rPr>
                <w:bCs/>
                <w:sz w:val="22"/>
                <w:szCs w:val="22"/>
              </w:rPr>
            </w:pPr>
            <w:r w:rsidRPr="00505D74">
              <w:rPr>
                <w:bCs/>
                <w:sz w:val="22"/>
                <w:szCs w:val="22"/>
              </w:rPr>
              <w:t xml:space="preserve">Однако даже если на основании мероприятий, установленных пунктом 1 статьи 142.4 Кодекса, или имеющейся у ОФР информации не выявлены клиенты, выгодоприобретатели и (или) лица, прямо или косвенно их контролирующие, которые являются налоговыми резидентами иностранных государств (территорий), ОФР обязана представить в </w:t>
            </w:r>
            <w:r w:rsidR="00ED0017">
              <w:rPr>
                <w:bCs/>
                <w:sz w:val="22"/>
                <w:szCs w:val="22"/>
              </w:rPr>
              <w:t>Уполномоченный орган</w:t>
            </w:r>
            <w:r w:rsidRPr="00505D74">
              <w:rPr>
                <w:bCs/>
                <w:sz w:val="22"/>
                <w:szCs w:val="22"/>
              </w:rPr>
              <w:t>, информацию об отсутствии таких клиентов, выгодоприобретателей и (или) лиц, прямо или косвенно их контролирующих (так называемая «нулевая» отчетность).</w:t>
            </w:r>
            <w:r w:rsidR="00ED0017">
              <w:rPr>
                <w:bCs/>
                <w:sz w:val="22"/>
                <w:szCs w:val="22"/>
              </w:rPr>
              <w:t xml:space="preserve"> </w:t>
            </w:r>
          </w:p>
          <w:p w14:paraId="4D7A8561" w14:textId="7D3F6267" w:rsidR="00505D74" w:rsidRPr="00505D74" w:rsidRDefault="00ED0017" w:rsidP="00ED0017">
            <w:pPr>
              <w:pStyle w:val="Default"/>
              <w:ind w:firstLine="738"/>
              <w:jc w:val="both"/>
              <w:rPr>
                <w:b/>
                <w:bCs/>
                <w:sz w:val="22"/>
                <w:szCs w:val="22"/>
              </w:rPr>
            </w:pPr>
            <w:r>
              <w:rPr>
                <w:bCs/>
                <w:sz w:val="22"/>
                <w:szCs w:val="22"/>
              </w:rPr>
              <w:t>К</w:t>
            </w:r>
            <w:r w:rsidRPr="00ED0017">
              <w:rPr>
                <w:bCs/>
                <w:sz w:val="22"/>
                <w:szCs w:val="22"/>
              </w:rPr>
              <w:t>алендарный год в котором выдана такая лицензия, является первым отчётным периодом, в котором требуется выполнение вышеуказанных обязанностей ОФР.</w:t>
            </w:r>
          </w:p>
        </w:tc>
      </w:tr>
    </w:tbl>
    <w:p w14:paraId="54538D69" w14:textId="77777777" w:rsidR="00F75D4E" w:rsidRDefault="00F75D4E" w:rsidP="0089584B">
      <w:pPr>
        <w:jc w:val="both"/>
      </w:pPr>
    </w:p>
    <w:tbl>
      <w:tblPr>
        <w:tblStyle w:val="11"/>
        <w:tblW w:w="10490" w:type="dxa"/>
        <w:tblLayout w:type="fixed"/>
        <w:tblLook w:val="0400" w:firstRow="0" w:lastRow="0" w:firstColumn="0" w:lastColumn="0" w:noHBand="0" w:noVBand="1"/>
      </w:tblPr>
      <w:tblGrid>
        <w:gridCol w:w="10490"/>
      </w:tblGrid>
      <w:tr w:rsidR="00D05E6E" w:rsidRPr="00AF5E31" w14:paraId="497F7591" w14:textId="77777777" w:rsidTr="009E3B98">
        <w:trPr>
          <w:trHeight w:val="110"/>
        </w:trPr>
        <w:tc>
          <w:tcPr>
            <w:tcW w:w="10490" w:type="dxa"/>
            <w:shd w:val="clear" w:color="auto" w:fill="0D76BB"/>
          </w:tcPr>
          <w:p w14:paraId="2464C8FE" w14:textId="38D24B85" w:rsidR="00D05E6E" w:rsidRPr="00AF5E31" w:rsidRDefault="00505D74" w:rsidP="00505D74">
            <w:pPr>
              <w:pStyle w:val="Default"/>
              <w:jc w:val="center"/>
              <w:outlineLvl w:val="0"/>
              <w:rPr>
                <w:b/>
                <w:sz w:val="22"/>
                <w:szCs w:val="22"/>
              </w:rPr>
            </w:pPr>
            <w:bookmarkStart w:id="5" w:name="_Toc199961152"/>
            <w:r w:rsidRPr="00D05E6E">
              <w:rPr>
                <w:b/>
                <w:color w:val="FFFFFF" w:themeColor="background1"/>
                <w:sz w:val="22"/>
                <w:szCs w:val="22"/>
              </w:rPr>
              <w:t>XIII. ПОРЯДОК И СРОКИ ПРЕДСТАВЛЕНИЯ ОТЧЕТНОСТИ</w:t>
            </w:r>
            <w:bookmarkEnd w:id="5"/>
          </w:p>
        </w:tc>
      </w:tr>
      <w:tr w:rsidR="00150796" w14:paraId="31150189" w14:textId="77777777" w:rsidTr="000C763E">
        <w:trPr>
          <w:cnfStyle w:val="000000010000" w:firstRow="0" w:lastRow="0" w:firstColumn="0" w:lastColumn="0" w:oddVBand="0" w:evenVBand="0" w:oddHBand="0" w:evenHBand="1" w:firstRowFirstColumn="0" w:firstRowLastColumn="0" w:lastRowFirstColumn="0" w:lastRowLastColumn="0"/>
          <w:trHeight w:val="110"/>
        </w:trPr>
        <w:tc>
          <w:tcPr>
            <w:tcW w:w="10490" w:type="dxa"/>
            <w:shd w:val="clear" w:color="auto" w:fill="DEEAF6" w:themeFill="accent1" w:themeFillTint="33"/>
          </w:tcPr>
          <w:p w14:paraId="0E0A02AB" w14:textId="270E2A5F" w:rsidR="00150796" w:rsidRDefault="00DA5BC1" w:rsidP="001150EB">
            <w:pPr>
              <w:pStyle w:val="Default"/>
              <w:jc w:val="both"/>
              <w:rPr>
                <w:b/>
                <w:bCs/>
                <w:sz w:val="22"/>
                <w:szCs w:val="22"/>
              </w:rPr>
            </w:pPr>
            <w:r w:rsidRPr="00D540D3">
              <w:rPr>
                <w:b/>
                <w:bCs/>
                <w:sz w:val="22"/>
                <w:szCs w:val="22"/>
              </w:rPr>
              <w:t>13.</w:t>
            </w:r>
            <w:r w:rsidR="00505D74" w:rsidRPr="00D540D3">
              <w:rPr>
                <w:b/>
                <w:bCs/>
                <w:sz w:val="22"/>
                <w:szCs w:val="22"/>
              </w:rPr>
              <w:t>1</w:t>
            </w:r>
            <w:r w:rsidR="007E4965" w:rsidRPr="00D540D3">
              <w:rPr>
                <w:b/>
                <w:bCs/>
                <w:sz w:val="22"/>
                <w:szCs w:val="22"/>
              </w:rPr>
              <w:t xml:space="preserve"> Вопрос</w:t>
            </w:r>
            <w:r w:rsidR="00150796" w:rsidRPr="00D540D3">
              <w:rPr>
                <w:b/>
                <w:bCs/>
                <w:sz w:val="22"/>
                <w:szCs w:val="22"/>
              </w:rPr>
              <w:t>:</w:t>
            </w:r>
            <w:r w:rsidR="00150796" w:rsidRPr="002E7295">
              <w:rPr>
                <w:bCs/>
                <w:sz w:val="22"/>
                <w:szCs w:val="22"/>
              </w:rPr>
              <w:t xml:space="preserve"> </w:t>
            </w:r>
            <w:r w:rsidR="00150796" w:rsidRPr="00150796">
              <w:rPr>
                <w:bCs/>
                <w:sz w:val="22"/>
                <w:szCs w:val="22"/>
              </w:rPr>
              <w:t>Какие полномочия необходимы в машиночитаемой доверен</w:t>
            </w:r>
            <w:r w:rsidR="009B4309">
              <w:rPr>
                <w:bCs/>
                <w:sz w:val="22"/>
                <w:szCs w:val="22"/>
              </w:rPr>
              <w:t>ности (МЧД) для входа на сервис и отправки отчета</w:t>
            </w:r>
            <w:r w:rsidR="00150796" w:rsidRPr="00150796">
              <w:rPr>
                <w:bCs/>
                <w:sz w:val="22"/>
                <w:szCs w:val="22"/>
              </w:rPr>
              <w:t xml:space="preserve"> «Отчет об иностранных клиентах по Стандарту ОЭСР»?</w:t>
            </w:r>
          </w:p>
        </w:tc>
      </w:tr>
      <w:tr w:rsidR="00150796" w14:paraId="3244969B" w14:textId="77777777" w:rsidTr="00AF244E">
        <w:trPr>
          <w:trHeight w:val="110"/>
        </w:trPr>
        <w:tc>
          <w:tcPr>
            <w:tcW w:w="1049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E8AD14" w14:textId="77777777" w:rsidR="00150796" w:rsidRPr="00150796" w:rsidRDefault="00150796" w:rsidP="00DA5BC1">
            <w:pPr>
              <w:pStyle w:val="Default"/>
              <w:ind w:firstLine="738"/>
              <w:jc w:val="both"/>
              <w:rPr>
                <w:bCs/>
                <w:sz w:val="22"/>
                <w:szCs w:val="22"/>
              </w:rPr>
            </w:pPr>
            <w:r w:rsidRPr="00150796">
              <w:rPr>
                <w:b/>
                <w:bCs/>
                <w:sz w:val="22"/>
                <w:szCs w:val="22"/>
              </w:rPr>
              <w:t>Ответ:</w:t>
            </w:r>
            <w:r w:rsidR="00DA5BC1">
              <w:rPr>
                <w:bCs/>
                <w:sz w:val="22"/>
                <w:szCs w:val="22"/>
              </w:rPr>
              <w:t xml:space="preserve"> Для входа на Сервис</w:t>
            </w:r>
            <w:r w:rsidRPr="00150796">
              <w:rPr>
                <w:bCs/>
                <w:sz w:val="22"/>
                <w:szCs w:val="22"/>
              </w:rPr>
              <w:t xml:space="preserve"> с использованием МЧД необходимо сформировать МЧД по единой форме (версия 003), содержащей полномочие «FNS_OFR_340FZ – Представление в адрес ФНС России финансовой информации в соответствии с главой 20.1 Налогового кодекса Российской Федерации» для сервиса «Отчет об иностранных клиентах по Стандарту ОЭСР».</w:t>
            </w:r>
          </w:p>
        </w:tc>
      </w:tr>
      <w:tr w:rsidR="00920B29" w14:paraId="57758533" w14:textId="77777777" w:rsidTr="000C763E">
        <w:trPr>
          <w:cnfStyle w:val="000000010000" w:firstRow="0" w:lastRow="0" w:firstColumn="0" w:lastColumn="0" w:oddVBand="0" w:evenVBand="0" w:oddHBand="0" w:evenHBand="1" w:firstRowFirstColumn="0" w:firstRowLastColumn="0" w:lastRowFirstColumn="0" w:lastRowLastColumn="0"/>
          <w:trHeight w:val="110"/>
        </w:trPr>
        <w:tc>
          <w:tcPr>
            <w:tcW w:w="10490" w:type="dxa"/>
            <w:shd w:val="clear" w:color="auto" w:fill="DEEAF6" w:themeFill="accent1" w:themeFillTint="33"/>
          </w:tcPr>
          <w:p w14:paraId="0C5296F2" w14:textId="3C1B248D" w:rsidR="00920B29" w:rsidRPr="00920B29" w:rsidRDefault="00505D74" w:rsidP="00053B14">
            <w:pPr>
              <w:pStyle w:val="Default"/>
              <w:jc w:val="both"/>
              <w:rPr>
                <w:bCs/>
                <w:sz w:val="22"/>
                <w:szCs w:val="22"/>
              </w:rPr>
            </w:pPr>
            <w:r w:rsidRPr="00D540D3">
              <w:rPr>
                <w:b/>
                <w:bCs/>
                <w:sz w:val="22"/>
                <w:szCs w:val="22"/>
              </w:rPr>
              <w:t>13.2</w:t>
            </w:r>
            <w:r w:rsidR="00920B29" w:rsidRPr="00D540D3">
              <w:rPr>
                <w:b/>
                <w:bCs/>
                <w:sz w:val="22"/>
                <w:szCs w:val="22"/>
              </w:rPr>
              <w:t xml:space="preserve"> Вопрос:</w:t>
            </w:r>
            <w:r w:rsidR="00920B29" w:rsidRPr="002E7295">
              <w:rPr>
                <w:bCs/>
                <w:sz w:val="22"/>
                <w:szCs w:val="22"/>
              </w:rPr>
              <w:t xml:space="preserve"> </w:t>
            </w:r>
            <w:r w:rsidR="00920B29" w:rsidRPr="00920B29">
              <w:rPr>
                <w:bCs/>
                <w:sz w:val="22"/>
                <w:szCs w:val="22"/>
              </w:rPr>
              <w:t xml:space="preserve">Возможно ли представить финансовую информацию, предусмотренную нормами главы 20.1 НК РФ на основании МЧД по единой форме версии 003, выданной через механизм передоверия? </w:t>
            </w:r>
          </w:p>
        </w:tc>
      </w:tr>
      <w:tr w:rsidR="00920B29" w14:paraId="265DD352" w14:textId="77777777" w:rsidTr="00AF244E">
        <w:trPr>
          <w:trHeight w:val="110"/>
        </w:trPr>
        <w:tc>
          <w:tcPr>
            <w:tcW w:w="1049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83D3B6" w14:textId="77777777" w:rsidR="00920B29" w:rsidRPr="00150796" w:rsidRDefault="00920B29" w:rsidP="004F06F5">
            <w:pPr>
              <w:pStyle w:val="Default"/>
              <w:ind w:firstLine="738"/>
              <w:jc w:val="both"/>
              <w:rPr>
                <w:b/>
                <w:bCs/>
                <w:sz w:val="22"/>
                <w:szCs w:val="22"/>
              </w:rPr>
            </w:pPr>
            <w:r w:rsidRPr="00920B29">
              <w:rPr>
                <w:b/>
                <w:bCs/>
                <w:sz w:val="22"/>
                <w:szCs w:val="22"/>
              </w:rPr>
              <w:t xml:space="preserve">Ответ: </w:t>
            </w:r>
            <w:r w:rsidR="004F06F5" w:rsidRPr="004F06F5">
              <w:rPr>
                <w:bCs/>
                <w:sz w:val="22"/>
                <w:szCs w:val="22"/>
              </w:rPr>
              <w:t>П</w:t>
            </w:r>
            <w:r w:rsidRPr="00920B29">
              <w:rPr>
                <w:bCs/>
                <w:sz w:val="22"/>
                <w:szCs w:val="22"/>
              </w:rPr>
              <w:t>редставление финансовой информации, предусмотренной нормами главы 20.1 НК РФ, возможно на основании МЧД по единой форме (версия 003), полномочие «FNS_OFR_340FZ – Представление в адрес ФНС России финансовой информации в соответствии с главой 20.1 Налогового кодекса Российской Федерации» для сервиса «Отчет об иностранных клиентах по Стандарту ОЭСР», выданной через механизм передоверия</w:t>
            </w:r>
            <w:r>
              <w:rPr>
                <w:rStyle w:val="aa"/>
                <w:bCs/>
                <w:sz w:val="22"/>
                <w:szCs w:val="22"/>
              </w:rPr>
              <w:footnoteReference w:id="3"/>
            </w:r>
            <w:r w:rsidRPr="00920B29">
              <w:rPr>
                <w:bCs/>
                <w:sz w:val="22"/>
                <w:szCs w:val="22"/>
              </w:rPr>
              <w:t>.</w:t>
            </w:r>
          </w:p>
        </w:tc>
      </w:tr>
      <w:tr w:rsidR="00150796" w14:paraId="7E85E431" w14:textId="77777777" w:rsidTr="000C763E">
        <w:trPr>
          <w:cnfStyle w:val="000000010000" w:firstRow="0" w:lastRow="0" w:firstColumn="0" w:lastColumn="0" w:oddVBand="0" w:evenVBand="0" w:oddHBand="0" w:evenHBand="1" w:firstRowFirstColumn="0" w:firstRowLastColumn="0" w:lastRowFirstColumn="0" w:lastRowLastColumn="0"/>
          <w:trHeight w:val="110"/>
        </w:trPr>
        <w:tc>
          <w:tcPr>
            <w:tcW w:w="10490" w:type="dxa"/>
            <w:shd w:val="clear" w:color="auto" w:fill="DEEAF6" w:themeFill="accent1" w:themeFillTint="33"/>
          </w:tcPr>
          <w:p w14:paraId="7880C155" w14:textId="2799DD05" w:rsidR="00150796" w:rsidRDefault="00505D74" w:rsidP="00E508E7">
            <w:pPr>
              <w:pStyle w:val="Default"/>
              <w:jc w:val="both"/>
              <w:rPr>
                <w:b/>
                <w:bCs/>
                <w:sz w:val="22"/>
                <w:szCs w:val="22"/>
              </w:rPr>
            </w:pPr>
            <w:r w:rsidRPr="00D540D3">
              <w:rPr>
                <w:b/>
                <w:bCs/>
                <w:sz w:val="22"/>
                <w:szCs w:val="22"/>
              </w:rPr>
              <w:t>13.3</w:t>
            </w:r>
            <w:r w:rsidR="007E4965" w:rsidRPr="00D540D3">
              <w:rPr>
                <w:b/>
                <w:bCs/>
                <w:sz w:val="22"/>
                <w:szCs w:val="22"/>
              </w:rPr>
              <w:t xml:space="preserve"> Вопрос</w:t>
            </w:r>
            <w:r w:rsidR="00150796" w:rsidRPr="00D540D3">
              <w:rPr>
                <w:b/>
                <w:bCs/>
                <w:sz w:val="22"/>
                <w:szCs w:val="22"/>
              </w:rPr>
              <w:t>:</w:t>
            </w:r>
            <w:r w:rsidR="00150796" w:rsidRPr="002E7295">
              <w:rPr>
                <w:bCs/>
                <w:sz w:val="22"/>
                <w:szCs w:val="22"/>
              </w:rPr>
              <w:t xml:space="preserve"> </w:t>
            </w:r>
            <w:r w:rsidR="00366515">
              <w:rPr>
                <w:bCs/>
                <w:sz w:val="22"/>
                <w:szCs w:val="22"/>
              </w:rPr>
              <w:t>Как происходит направление О</w:t>
            </w:r>
            <w:r w:rsidR="00150796" w:rsidRPr="00150796">
              <w:rPr>
                <w:bCs/>
                <w:sz w:val="22"/>
                <w:szCs w:val="22"/>
              </w:rPr>
              <w:t>тчета</w:t>
            </w:r>
            <w:r w:rsidR="00E508E7">
              <w:rPr>
                <w:bCs/>
                <w:sz w:val="22"/>
                <w:szCs w:val="22"/>
              </w:rPr>
              <w:t xml:space="preserve"> в электронной форме</w:t>
            </w:r>
            <w:r w:rsidR="00150796" w:rsidRPr="00150796">
              <w:rPr>
                <w:bCs/>
                <w:sz w:val="22"/>
                <w:szCs w:val="22"/>
              </w:rPr>
              <w:t xml:space="preserve"> (XML файла), превышающего 50 МБ?</w:t>
            </w:r>
          </w:p>
        </w:tc>
      </w:tr>
      <w:tr w:rsidR="00150796" w14:paraId="0775F7A7" w14:textId="77777777" w:rsidTr="00AF244E">
        <w:trPr>
          <w:trHeight w:val="110"/>
        </w:trPr>
        <w:tc>
          <w:tcPr>
            <w:tcW w:w="1049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9037FD" w14:textId="77777777" w:rsidR="00E508E7" w:rsidRDefault="00150796" w:rsidP="00150796">
            <w:pPr>
              <w:pStyle w:val="Default"/>
              <w:ind w:firstLine="738"/>
              <w:jc w:val="both"/>
              <w:rPr>
                <w:bCs/>
                <w:sz w:val="22"/>
                <w:szCs w:val="22"/>
              </w:rPr>
            </w:pPr>
            <w:r w:rsidRPr="00150796">
              <w:rPr>
                <w:b/>
                <w:bCs/>
                <w:sz w:val="22"/>
                <w:szCs w:val="22"/>
              </w:rPr>
              <w:t xml:space="preserve">Ответ: </w:t>
            </w:r>
            <w:r w:rsidR="00E508E7">
              <w:rPr>
                <w:bCs/>
                <w:sz w:val="22"/>
                <w:szCs w:val="22"/>
              </w:rPr>
              <w:t>Согласно Рекомендаций</w:t>
            </w:r>
            <w:r w:rsidRPr="00150796">
              <w:rPr>
                <w:bCs/>
                <w:sz w:val="22"/>
                <w:szCs w:val="22"/>
              </w:rPr>
              <w:t>, допускается формирование нескольких электронных отчетов (XML файлов) с блоками данных по подотчётным счетам (&lt;AccountReport&gt;), содержащих разные подотчётные д</w:t>
            </w:r>
            <w:r w:rsidR="00E508E7">
              <w:rPr>
                <w:bCs/>
                <w:sz w:val="22"/>
                <w:szCs w:val="22"/>
              </w:rPr>
              <w:t>оговоры, в случаях:</w:t>
            </w:r>
          </w:p>
          <w:p w14:paraId="44C0DF6B" w14:textId="6BCD9DEE" w:rsidR="00E508E7" w:rsidRDefault="00150796" w:rsidP="00150796">
            <w:pPr>
              <w:pStyle w:val="Default"/>
              <w:ind w:firstLine="738"/>
              <w:jc w:val="both"/>
              <w:rPr>
                <w:bCs/>
                <w:sz w:val="22"/>
                <w:szCs w:val="22"/>
              </w:rPr>
            </w:pPr>
            <w:r w:rsidRPr="00150796">
              <w:rPr>
                <w:bCs/>
                <w:sz w:val="22"/>
                <w:szCs w:val="22"/>
              </w:rPr>
              <w:t>когда объем сведений за один отчётный период при формировании одного электронн</w:t>
            </w:r>
            <w:r w:rsidR="00366515">
              <w:rPr>
                <w:bCs/>
                <w:sz w:val="22"/>
                <w:szCs w:val="22"/>
              </w:rPr>
              <w:t>ого О</w:t>
            </w:r>
            <w:r w:rsidRPr="00150796">
              <w:rPr>
                <w:bCs/>
                <w:sz w:val="22"/>
                <w:szCs w:val="22"/>
              </w:rPr>
              <w:t>тчета</w:t>
            </w:r>
            <w:r w:rsidR="00E508E7">
              <w:rPr>
                <w:bCs/>
                <w:sz w:val="22"/>
                <w:szCs w:val="22"/>
              </w:rPr>
              <w:t xml:space="preserve"> (XML файла) превышает 50 МБ;</w:t>
            </w:r>
          </w:p>
          <w:p w14:paraId="3647E51D" w14:textId="77777777" w:rsidR="00150796" w:rsidRPr="00150796" w:rsidRDefault="00150796" w:rsidP="00150796">
            <w:pPr>
              <w:pStyle w:val="Default"/>
              <w:ind w:firstLine="738"/>
              <w:jc w:val="both"/>
              <w:rPr>
                <w:bCs/>
                <w:sz w:val="22"/>
                <w:szCs w:val="22"/>
              </w:rPr>
            </w:pPr>
            <w:r w:rsidRPr="00150796">
              <w:rPr>
                <w:bCs/>
                <w:sz w:val="22"/>
                <w:szCs w:val="22"/>
              </w:rPr>
              <w:lastRenderedPageBreak/>
              <w:t>когда ОФР, после направления первоначального отчета (отчетов) в адрес ФНС России, выявила подотчетных лиц или договоры (счета или их аналоги) за соответствующий отчётный период, которые не были указаны в таком первоначальном отчете (отчетах).</w:t>
            </w:r>
          </w:p>
          <w:p w14:paraId="7F2D49D2" w14:textId="4932B4E3" w:rsidR="00150796" w:rsidRDefault="00366515" w:rsidP="00150796">
            <w:pPr>
              <w:pStyle w:val="Default"/>
              <w:ind w:firstLine="738"/>
              <w:jc w:val="both"/>
              <w:rPr>
                <w:b/>
                <w:bCs/>
                <w:sz w:val="22"/>
                <w:szCs w:val="22"/>
              </w:rPr>
            </w:pPr>
            <w:r>
              <w:rPr>
                <w:bCs/>
                <w:sz w:val="22"/>
                <w:szCs w:val="22"/>
              </w:rPr>
              <w:t>Каждому электронному О</w:t>
            </w:r>
            <w:r w:rsidR="00150796" w:rsidRPr="00150796">
              <w:rPr>
                <w:bCs/>
                <w:sz w:val="22"/>
                <w:szCs w:val="22"/>
              </w:rPr>
              <w:t>тчету (XML файлу) присваивается уникальный идентификатор сообщения (&lt;MessageRefID&gt;). Данный элемент представляет собой уникальный в пространстве и времени идентификатор (GUID), который позволяет однозначно в</w:t>
            </w:r>
            <w:r>
              <w:rPr>
                <w:bCs/>
                <w:sz w:val="22"/>
                <w:szCs w:val="22"/>
              </w:rPr>
              <w:t>ерифицировать О</w:t>
            </w:r>
            <w:r w:rsidR="00150796" w:rsidRPr="00150796">
              <w:rPr>
                <w:bCs/>
                <w:sz w:val="22"/>
                <w:szCs w:val="22"/>
              </w:rPr>
              <w:t>тчет отправителем или получателем информации. Присвоение ранее использованного идентификатора сообщения новому отчету приводит к отказу в приеме такой информации.</w:t>
            </w:r>
          </w:p>
        </w:tc>
      </w:tr>
      <w:tr w:rsidR="00150796" w14:paraId="4B2F3734" w14:textId="77777777" w:rsidTr="000C763E">
        <w:trPr>
          <w:cnfStyle w:val="000000010000" w:firstRow="0" w:lastRow="0" w:firstColumn="0" w:lastColumn="0" w:oddVBand="0" w:evenVBand="0" w:oddHBand="0" w:evenHBand="1" w:firstRowFirstColumn="0" w:firstRowLastColumn="0" w:lastRowFirstColumn="0" w:lastRowLastColumn="0"/>
          <w:trHeight w:val="110"/>
        </w:trPr>
        <w:tc>
          <w:tcPr>
            <w:tcW w:w="10490" w:type="dxa"/>
            <w:shd w:val="clear" w:color="auto" w:fill="DEEAF6" w:themeFill="accent1" w:themeFillTint="33"/>
          </w:tcPr>
          <w:p w14:paraId="53AA669B" w14:textId="0D4A994E" w:rsidR="00150796" w:rsidRDefault="00505D74" w:rsidP="007E4965">
            <w:pPr>
              <w:pStyle w:val="Default"/>
              <w:jc w:val="both"/>
              <w:rPr>
                <w:b/>
                <w:bCs/>
                <w:sz w:val="22"/>
                <w:szCs w:val="22"/>
              </w:rPr>
            </w:pPr>
            <w:r w:rsidRPr="00D540D3">
              <w:rPr>
                <w:b/>
                <w:bCs/>
                <w:sz w:val="22"/>
                <w:szCs w:val="22"/>
              </w:rPr>
              <w:lastRenderedPageBreak/>
              <w:t>13.4</w:t>
            </w:r>
            <w:r w:rsidR="007E4965" w:rsidRPr="00D540D3">
              <w:rPr>
                <w:b/>
                <w:bCs/>
                <w:sz w:val="22"/>
                <w:szCs w:val="22"/>
              </w:rPr>
              <w:t xml:space="preserve"> Вопрос</w:t>
            </w:r>
            <w:r w:rsidR="00150796" w:rsidRPr="00D540D3">
              <w:rPr>
                <w:b/>
                <w:bCs/>
                <w:sz w:val="22"/>
                <w:szCs w:val="22"/>
              </w:rPr>
              <w:t>:</w:t>
            </w:r>
            <w:r w:rsidR="00150796" w:rsidRPr="00150796">
              <w:rPr>
                <w:bCs/>
                <w:sz w:val="22"/>
                <w:szCs w:val="22"/>
              </w:rPr>
              <w:t xml:space="preserve"> Является ли обязательным элемент «Вид договора (счета или его аналога)» (&lt;AcctContractType&gt;)? Будет ли классифицироваться отсутствии сведений в элементе (&lt;AcctContractType&gt;) как ошибка?</w:t>
            </w:r>
          </w:p>
        </w:tc>
      </w:tr>
      <w:tr w:rsidR="00150796" w14:paraId="26DEA03A" w14:textId="77777777" w:rsidTr="00AF244E">
        <w:trPr>
          <w:trHeight w:val="110"/>
        </w:trPr>
        <w:tc>
          <w:tcPr>
            <w:tcW w:w="1049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659922" w14:textId="77777777" w:rsidR="00150796" w:rsidRPr="00150796" w:rsidRDefault="00150796" w:rsidP="00150796">
            <w:pPr>
              <w:pStyle w:val="Default"/>
              <w:ind w:firstLine="738"/>
              <w:jc w:val="both"/>
              <w:rPr>
                <w:bCs/>
                <w:sz w:val="22"/>
                <w:szCs w:val="22"/>
              </w:rPr>
            </w:pPr>
            <w:r w:rsidRPr="00150796">
              <w:rPr>
                <w:b/>
                <w:bCs/>
                <w:sz w:val="22"/>
                <w:szCs w:val="22"/>
              </w:rPr>
              <w:t xml:space="preserve">Ответ: </w:t>
            </w:r>
            <w:r w:rsidRPr="00150796">
              <w:rPr>
                <w:bCs/>
                <w:sz w:val="22"/>
                <w:szCs w:val="22"/>
              </w:rPr>
              <w:t>Со</w:t>
            </w:r>
            <w:r w:rsidR="00ED50C6">
              <w:rPr>
                <w:bCs/>
                <w:sz w:val="22"/>
                <w:szCs w:val="22"/>
              </w:rPr>
              <w:t>гласно Таблице 4.9 Формата</w:t>
            </w:r>
            <w:r w:rsidRPr="00150796">
              <w:rPr>
                <w:bCs/>
                <w:sz w:val="22"/>
                <w:szCs w:val="22"/>
              </w:rPr>
              <w:t xml:space="preserve"> элемент «Вид договора (счета или его аналога)» (&lt;AcctContractType&gt;) содержит признак обязательности элемента «Н».</w:t>
            </w:r>
          </w:p>
          <w:p w14:paraId="6DB0A5FC" w14:textId="77777777" w:rsidR="00150796" w:rsidRPr="00150796" w:rsidRDefault="00150796" w:rsidP="00150796">
            <w:pPr>
              <w:pStyle w:val="Default"/>
              <w:ind w:firstLine="738"/>
              <w:jc w:val="both"/>
              <w:rPr>
                <w:bCs/>
                <w:sz w:val="22"/>
                <w:szCs w:val="22"/>
              </w:rPr>
            </w:pPr>
            <w:r w:rsidRPr="00150796">
              <w:rPr>
                <w:bCs/>
                <w:sz w:val="22"/>
                <w:szCs w:val="22"/>
              </w:rPr>
              <w:t>Согласно абзацу третьему страницы 2 Формата признак обязательности элемента «Н» означает, что «присутствие элемента в файле обмена необязательно, то есть элемент может отсутствовать».</w:t>
            </w:r>
          </w:p>
          <w:p w14:paraId="1DFEA87F" w14:textId="23F19A12" w:rsidR="00623E07" w:rsidRDefault="00150796" w:rsidP="006846A2">
            <w:pPr>
              <w:pStyle w:val="Default"/>
              <w:ind w:firstLine="738"/>
              <w:jc w:val="both"/>
              <w:rPr>
                <w:bCs/>
                <w:sz w:val="22"/>
                <w:szCs w:val="22"/>
              </w:rPr>
            </w:pPr>
            <w:r w:rsidRPr="00150796">
              <w:rPr>
                <w:bCs/>
                <w:sz w:val="22"/>
                <w:szCs w:val="22"/>
              </w:rPr>
              <w:t>В сноске 6 в дополнительной информации к элементу «Вид договора (счета или его аналога)» (&lt;AcctContractType&gt;) указано, что указанный элемент «является обязательным для применения начиная с отчетного периода 2</w:t>
            </w:r>
            <w:r w:rsidR="00366515">
              <w:rPr>
                <w:bCs/>
                <w:sz w:val="22"/>
                <w:szCs w:val="22"/>
              </w:rPr>
              <w:t>023 года, т.е. со сроком сдачи О</w:t>
            </w:r>
            <w:r w:rsidRPr="00150796">
              <w:rPr>
                <w:bCs/>
                <w:sz w:val="22"/>
                <w:szCs w:val="22"/>
              </w:rPr>
              <w:t>тчетности до 31.05.2024 года». Однако, поскольку применительно к элементу «Вид договора (счета или его аналога)» (&lt;AcctContractType&gt;) признак обязательности элемента «Н» не был заменен на «О» – наличие элемента в файле обмена обязательно, или «ОК» – элемент в файле обмена обязателен и принимает ограниченный перечень значений (по классификатору, кодовому словарю и т.п.), то ОФР вправе его не заполнять до внесения соответствующих изменений в Формат.</w:t>
            </w:r>
          </w:p>
          <w:p w14:paraId="2CDC9F79" w14:textId="77777777" w:rsidR="00505D74" w:rsidRDefault="00505D74" w:rsidP="006846A2">
            <w:pPr>
              <w:pStyle w:val="Default"/>
              <w:ind w:firstLine="738"/>
              <w:jc w:val="both"/>
              <w:rPr>
                <w:b/>
                <w:bCs/>
                <w:sz w:val="22"/>
                <w:szCs w:val="22"/>
              </w:rPr>
            </w:pPr>
          </w:p>
        </w:tc>
      </w:tr>
      <w:tr w:rsidR="00150796" w14:paraId="639033A7" w14:textId="77777777" w:rsidTr="000C763E">
        <w:trPr>
          <w:cnfStyle w:val="000000010000" w:firstRow="0" w:lastRow="0" w:firstColumn="0" w:lastColumn="0" w:oddVBand="0" w:evenVBand="0" w:oddHBand="0" w:evenHBand="1" w:firstRowFirstColumn="0" w:firstRowLastColumn="0" w:lastRowFirstColumn="0" w:lastRowLastColumn="0"/>
          <w:trHeight w:val="110"/>
        </w:trPr>
        <w:tc>
          <w:tcPr>
            <w:tcW w:w="10490" w:type="dxa"/>
            <w:shd w:val="clear" w:color="auto" w:fill="DEEAF6" w:themeFill="accent1" w:themeFillTint="33"/>
          </w:tcPr>
          <w:p w14:paraId="45B59E8C" w14:textId="65F56582" w:rsidR="00150796" w:rsidRDefault="00505D74" w:rsidP="006846A2">
            <w:pPr>
              <w:pStyle w:val="Default"/>
              <w:jc w:val="both"/>
              <w:rPr>
                <w:b/>
                <w:bCs/>
                <w:sz w:val="22"/>
                <w:szCs w:val="22"/>
              </w:rPr>
            </w:pPr>
            <w:r w:rsidRPr="00D540D3">
              <w:rPr>
                <w:b/>
                <w:bCs/>
                <w:sz w:val="22"/>
                <w:szCs w:val="22"/>
              </w:rPr>
              <w:t>13.5</w:t>
            </w:r>
            <w:r w:rsidR="007E4965" w:rsidRPr="00D540D3">
              <w:rPr>
                <w:b/>
                <w:bCs/>
                <w:sz w:val="22"/>
                <w:szCs w:val="22"/>
              </w:rPr>
              <w:t xml:space="preserve"> Вопрос</w:t>
            </w:r>
            <w:r w:rsidR="00150796" w:rsidRPr="00D540D3">
              <w:rPr>
                <w:b/>
                <w:bCs/>
                <w:sz w:val="22"/>
                <w:szCs w:val="22"/>
              </w:rPr>
              <w:t>:</w:t>
            </w:r>
            <w:r w:rsidR="00150796" w:rsidRPr="002E7295">
              <w:rPr>
                <w:bCs/>
                <w:sz w:val="22"/>
                <w:szCs w:val="22"/>
              </w:rPr>
              <w:t xml:space="preserve"> </w:t>
            </w:r>
            <w:r w:rsidR="00EC2843" w:rsidRPr="00EC2843">
              <w:rPr>
                <w:bCs/>
                <w:sz w:val="22"/>
                <w:szCs w:val="22"/>
              </w:rPr>
              <w:t>В части заполнения сведений об адресе в элементах Формата.</w:t>
            </w:r>
          </w:p>
        </w:tc>
      </w:tr>
      <w:tr w:rsidR="00150796" w14:paraId="7BA0BC50" w14:textId="77777777" w:rsidTr="00AF244E">
        <w:trPr>
          <w:trHeight w:val="110"/>
        </w:trPr>
        <w:tc>
          <w:tcPr>
            <w:tcW w:w="1049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1A82DB" w14:textId="77777777" w:rsidR="00150796" w:rsidRDefault="00150796" w:rsidP="00EC2843">
            <w:pPr>
              <w:pStyle w:val="Default"/>
              <w:numPr>
                <w:ilvl w:val="0"/>
                <w:numId w:val="7"/>
              </w:numPr>
              <w:ind w:left="29" w:firstLine="567"/>
              <w:jc w:val="both"/>
              <w:rPr>
                <w:bCs/>
                <w:sz w:val="22"/>
                <w:szCs w:val="22"/>
              </w:rPr>
            </w:pPr>
            <w:r w:rsidRPr="00150796">
              <w:rPr>
                <w:bCs/>
                <w:sz w:val="22"/>
                <w:szCs w:val="22"/>
              </w:rPr>
              <w:t xml:space="preserve">Согласно </w:t>
            </w:r>
            <w:r w:rsidR="003033F1">
              <w:rPr>
                <w:bCs/>
                <w:sz w:val="22"/>
                <w:szCs w:val="22"/>
              </w:rPr>
              <w:t>Таблице 4.16 Формата</w:t>
            </w:r>
            <w:r w:rsidRPr="00150796">
              <w:rPr>
                <w:bCs/>
                <w:sz w:val="22"/>
                <w:szCs w:val="22"/>
              </w:rPr>
              <w:t>, элемент «Адрес» (&lt;Address&gt;) – является множественным, сложным и обязателен для заполнения (признак обязательности «ОМ»). Все элементы данного блока являются обязательными для заполнения при наличии такой информации у ОФР. В случае отсутствия полной информации у ОФР заполняются только элементы «Код страны, к которой относится адрес» (&lt;CountryCode&gt;), «Город» (&lt;City&gt;), «Адрес (свободная форма)» (&lt;AddressFree&gt;).</w:t>
            </w:r>
            <w:r w:rsidR="00EC2843">
              <w:rPr>
                <w:bCs/>
                <w:sz w:val="22"/>
                <w:szCs w:val="22"/>
              </w:rPr>
              <w:t xml:space="preserve"> </w:t>
            </w:r>
            <w:r w:rsidRPr="00EC2843">
              <w:rPr>
                <w:bCs/>
                <w:sz w:val="22"/>
                <w:szCs w:val="22"/>
              </w:rPr>
              <w:t>В случае заполнения адреса в отношении отчитывающейся ОФР в данном элементе необходимо указывать адрес согласно учредительным документам такой ОФР.</w:t>
            </w:r>
          </w:p>
          <w:p w14:paraId="4A1AE8B2" w14:textId="77777777" w:rsidR="00EC2843" w:rsidRDefault="00D2135A" w:rsidP="00EC2843">
            <w:pPr>
              <w:pStyle w:val="Default"/>
              <w:numPr>
                <w:ilvl w:val="0"/>
                <w:numId w:val="7"/>
              </w:numPr>
              <w:ind w:left="29" w:firstLine="567"/>
              <w:jc w:val="both"/>
              <w:rPr>
                <w:bCs/>
                <w:sz w:val="22"/>
                <w:szCs w:val="22"/>
              </w:rPr>
            </w:pPr>
            <w:r>
              <w:rPr>
                <w:bCs/>
                <w:sz w:val="22"/>
                <w:szCs w:val="22"/>
              </w:rPr>
              <w:t xml:space="preserve">Согласно </w:t>
            </w:r>
            <w:r w:rsidR="003033F1">
              <w:rPr>
                <w:bCs/>
                <w:sz w:val="22"/>
                <w:szCs w:val="22"/>
              </w:rPr>
              <w:t xml:space="preserve">Таблице 4.19 </w:t>
            </w:r>
            <w:r w:rsidR="00EC2843" w:rsidRPr="00D2135A">
              <w:rPr>
                <w:bCs/>
                <w:sz w:val="22"/>
                <w:szCs w:val="22"/>
              </w:rPr>
              <w:t>Формата</w:t>
            </w:r>
            <w:r w:rsidR="00EC2843">
              <w:rPr>
                <w:bCs/>
                <w:sz w:val="22"/>
                <w:szCs w:val="22"/>
              </w:rPr>
              <w:t xml:space="preserve"> п</w:t>
            </w:r>
            <w:r w:rsidR="00EC2843" w:rsidRPr="00150796">
              <w:rPr>
                <w:bCs/>
                <w:sz w:val="22"/>
                <w:szCs w:val="22"/>
              </w:rPr>
              <w:t>ри указании сведений о городе или иных элементах адреса, которые имеют официальное название на английском языке, такие элементы указываются согласно их официальному названию. В остальных случаях сведения указываются на латинице с использованием символов &lt;xsd:pattern value="[a-zA-Z0-9.,'()-/&amp;amp;&amp;quot;]{1,1000}"/&gt;. Адреса на кириллице подлежат транслитерации по ГОСТ 7.79-2000(Б). Знаки &lt;Ь&gt; и &lt;Ъ&gt; пропускаются.</w:t>
            </w:r>
          </w:p>
          <w:p w14:paraId="055DC60A" w14:textId="77777777" w:rsidR="00EC2843" w:rsidRDefault="001217CF" w:rsidP="00EC2843">
            <w:pPr>
              <w:pStyle w:val="Default"/>
              <w:numPr>
                <w:ilvl w:val="0"/>
                <w:numId w:val="7"/>
              </w:numPr>
              <w:ind w:left="29" w:firstLine="567"/>
              <w:jc w:val="both"/>
              <w:rPr>
                <w:bCs/>
                <w:sz w:val="22"/>
                <w:szCs w:val="22"/>
              </w:rPr>
            </w:pPr>
            <w:r>
              <w:rPr>
                <w:bCs/>
                <w:sz w:val="22"/>
                <w:szCs w:val="22"/>
              </w:rPr>
              <w:t xml:space="preserve">Согласно </w:t>
            </w:r>
            <w:r w:rsidR="003033F1">
              <w:rPr>
                <w:bCs/>
                <w:sz w:val="22"/>
                <w:szCs w:val="22"/>
              </w:rPr>
              <w:t xml:space="preserve">Таблицам 4.19, 4.20 </w:t>
            </w:r>
            <w:r>
              <w:rPr>
                <w:bCs/>
                <w:sz w:val="22"/>
                <w:szCs w:val="22"/>
              </w:rPr>
              <w:t>Формата</w:t>
            </w:r>
            <w:r w:rsidR="00EC2843" w:rsidRPr="00EC2843">
              <w:rPr>
                <w:bCs/>
                <w:sz w:val="22"/>
                <w:szCs w:val="22"/>
              </w:rPr>
              <w:t xml:space="preserve"> адрес может быть указан двумя способами: «Адрес (фиксированная форма)» (&lt;AddressFix&gt;), содержащий фиксированный набор данных, или «Адрес (свободная форма)» (&lt;AddressFree&gt;), содержащий единое текстовое поле для указания адреса в свободной форме.</w:t>
            </w:r>
          </w:p>
          <w:p w14:paraId="79832B25" w14:textId="77777777" w:rsidR="00595880" w:rsidRDefault="00EC2843" w:rsidP="00AE45F7">
            <w:pPr>
              <w:pStyle w:val="Default"/>
              <w:ind w:left="29" w:firstLine="691"/>
              <w:jc w:val="both"/>
              <w:rPr>
                <w:bCs/>
                <w:sz w:val="22"/>
                <w:szCs w:val="22"/>
              </w:rPr>
            </w:pPr>
            <w:r w:rsidRPr="00EC2843">
              <w:rPr>
                <w:bCs/>
                <w:sz w:val="22"/>
                <w:szCs w:val="22"/>
              </w:rPr>
              <w:t>По умолчанию, при использовании программного обеспечения «Налогоплательщик ЮЛ» для представления сведений в ФНС России, предполагается заполнение элемента &lt;AddressFix&gt; Формата. В этом случае элемент &lt;AddressFree&gt; Формата не заполняется и в файле обмена элемент &lt;AddressFree&gt; должен отсутствовать (проставлять дефисы или оставлять пустым не нужно).</w:t>
            </w:r>
          </w:p>
          <w:p w14:paraId="381B2F84" w14:textId="77777777" w:rsidR="00595880" w:rsidRDefault="00595880" w:rsidP="00D76908">
            <w:pPr>
              <w:pStyle w:val="Default"/>
              <w:numPr>
                <w:ilvl w:val="0"/>
                <w:numId w:val="7"/>
              </w:numPr>
              <w:ind w:left="29" w:firstLine="567"/>
              <w:jc w:val="both"/>
              <w:rPr>
                <w:bCs/>
                <w:sz w:val="22"/>
                <w:szCs w:val="22"/>
              </w:rPr>
            </w:pPr>
            <w:r w:rsidRPr="00595880">
              <w:rPr>
                <w:bCs/>
                <w:sz w:val="22"/>
                <w:szCs w:val="22"/>
              </w:rPr>
              <w:t>При заполнении адреса в элементе &lt;AddressFree&gt; Формата допускается использовать сокращения, как в ЕГРЮЛ.</w:t>
            </w:r>
          </w:p>
          <w:p w14:paraId="07E657A8" w14:textId="77777777" w:rsidR="00595880" w:rsidRDefault="00595880" w:rsidP="00D76908">
            <w:pPr>
              <w:pStyle w:val="Default"/>
              <w:numPr>
                <w:ilvl w:val="0"/>
                <w:numId w:val="7"/>
              </w:numPr>
              <w:ind w:left="29" w:firstLine="567"/>
              <w:jc w:val="both"/>
              <w:rPr>
                <w:bCs/>
                <w:sz w:val="22"/>
                <w:szCs w:val="22"/>
              </w:rPr>
            </w:pPr>
            <w:r>
              <w:rPr>
                <w:bCs/>
                <w:sz w:val="22"/>
                <w:szCs w:val="22"/>
              </w:rPr>
              <w:t>П</w:t>
            </w:r>
            <w:r w:rsidRPr="00595880">
              <w:rPr>
                <w:bCs/>
                <w:sz w:val="22"/>
                <w:szCs w:val="22"/>
              </w:rPr>
              <w:t>ри заполнении элемента &lt;AddressFree&gt; Формата все имеющиеся сведения об адресе указываются в виде одной строки, то составные части адреса должны быть разделены, например, посредством пробела, знака «/» (слэш) или через возврат каретки и перевод строки.</w:t>
            </w:r>
          </w:p>
          <w:p w14:paraId="05FAA536" w14:textId="77777777" w:rsidR="009E50E8" w:rsidRPr="00EA539A" w:rsidRDefault="009E50E8" w:rsidP="009E50E8">
            <w:pPr>
              <w:pStyle w:val="Default"/>
              <w:jc w:val="both"/>
              <w:rPr>
                <w:bCs/>
                <w:sz w:val="22"/>
                <w:szCs w:val="22"/>
              </w:rPr>
            </w:pPr>
          </w:p>
        </w:tc>
      </w:tr>
      <w:tr w:rsidR="00150796" w14:paraId="2AA13177" w14:textId="77777777" w:rsidTr="000C763E">
        <w:trPr>
          <w:cnfStyle w:val="000000010000" w:firstRow="0" w:lastRow="0" w:firstColumn="0" w:lastColumn="0" w:oddVBand="0" w:evenVBand="0" w:oddHBand="0" w:evenHBand="1" w:firstRowFirstColumn="0" w:firstRowLastColumn="0" w:lastRowFirstColumn="0" w:lastRowLastColumn="0"/>
          <w:trHeight w:val="110"/>
        </w:trPr>
        <w:tc>
          <w:tcPr>
            <w:tcW w:w="10490" w:type="dxa"/>
            <w:shd w:val="clear" w:color="auto" w:fill="DEEAF6" w:themeFill="accent1" w:themeFillTint="33"/>
          </w:tcPr>
          <w:p w14:paraId="60655600" w14:textId="291ECF2D" w:rsidR="00150796" w:rsidRDefault="00505D74" w:rsidP="00ED50C6">
            <w:pPr>
              <w:pStyle w:val="Default"/>
              <w:jc w:val="both"/>
              <w:rPr>
                <w:b/>
                <w:bCs/>
                <w:sz w:val="22"/>
                <w:szCs w:val="22"/>
              </w:rPr>
            </w:pPr>
            <w:r w:rsidRPr="00D540D3">
              <w:rPr>
                <w:b/>
                <w:bCs/>
                <w:sz w:val="22"/>
                <w:szCs w:val="22"/>
              </w:rPr>
              <w:t>13.6</w:t>
            </w:r>
            <w:r w:rsidR="007E4965" w:rsidRPr="00D540D3">
              <w:rPr>
                <w:b/>
                <w:bCs/>
                <w:sz w:val="22"/>
                <w:szCs w:val="22"/>
              </w:rPr>
              <w:t xml:space="preserve"> Вопрос</w:t>
            </w:r>
            <w:r w:rsidR="00150796" w:rsidRPr="00D540D3">
              <w:rPr>
                <w:b/>
                <w:bCs/>
                <w:sz w:val="22"/>
                <w:szCs w:val="22"/>
              </w:rPr>
              <w:t>:</w:t>
            </w:r>
            <w:r w:rsidR="00150796" w:rsidRPr="002E7295">
              <w:rPr>
                <w:bCs/>
                <w:sz w:val="22"/>
                <w:szCs w:val="22"/>
              </w:rPr>
              <w:t xml:space="preserve"> </w:t>
            </w:r>
            <w:r w:rsidR="00150796" w:rsidRPr="00150796">
              <w:rPr>
                <w:bCs/>
                <w:sz w:val="22"/>
                <w:szCs w:val="22"/>
              </w:rPr>
              <w:t>Какой признак устанавливается в элементе «Категория договора (счета или его аналога)» для договоров, заключенных до даты вступления в силу Постановления и для договоров, заключенных ранее отчетного периода, но позднее 19.07.2018?</w:t>
            </w:r>
          </w:p>
        </w:tc>
      </w:tr>
      <w:tr w:rsidR="00150796" w14:paraId="530ECB3F" w14:textId="77777777" w:rsidTr="00AF244E">
        <w:trPr>
          <w:trHeight w:val="110"/>
        </w:trPr>
        <w:tc>
          <w:tcPr>
            <w:tcW w:w="1049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64764B" w14:textId="7240E8BD" w:rsidR="00BB4986" w:rsidRPr="00BB4986" w:rsidRDefault="00150796" w:rsidP="00BB4986">
            <w:pPr>
              <w:pStyle w:val="Default"/>
              <w:ind w:firstLine="738"/>
              <w:jc w:val="both"/>
              <w:rPr>
                <w:bCs/>
                <w:sz w:val="22"/>
                <w:szCs w:val="22"/>
              </w:rPr>
            </w:pPr>
            <w:r w:rsidRPr="00150796">
              <w:rPr>
                <w:b/>
                <w:bCs/>
                <w:sz w:val="22"/>
                <w:szCs w:val="22"/>
              </w:rPr>
              <w:t xml:space="preserve">Ответ: </w:t>
            </w:r>
            <w:r w:rsidR="00BB4986" w:rsidRPr="00BB4986">
              <w:rPr>
                <w:bCs/>
                <w:sz w:val="22"/>
                <w:szCs w:val="22"/>
              </w:rPr>
              <w:t xml:space="preserve">Согласно абзацу первому пункта 13 Положения, ранее заключенным договором признается договор, предусматривающий оказание финансовой услуги, заключенный клиентом с ОФР до даты вступления в силу Положения, то есть до 20.07.2018. </w:t>
            </w:r>
          </w:p>
          <w:p w14:paraId="281AD026" w14:textId="77777777" w:rsidR="00BB4986" w:rsidRPr="00BB4986" w:rsidRDefault="00BB4986" w:rsidP="00BB4986">
            <w:pPr>
              <w:pStyle w:val="Default"/>
              <w:ind w:firstLine="738"/>
              <w:jc w:val="both"/>
              <w:rPr>
                <w:bCs/>
                <w:sz w:val="22"/>
                <w:szCs w:val="22"/>
              </w:rPr>
            </w:pPr>
            <w:r w:rsidRPr="00BB4986">
              <w:rPr>
                <w:bCs/>
                <w:sz w:val="22"/>
                <w:szCs w:val="22"/>
              </w:rPr>
              <w:t xml:space="preserve">Согласно абзацу второму пункта 13 Положения новым договором признается договор, предусматривающий оказание финансовой услуги, который заключен или будет заключен клиентом с ОФР начиная с 20.08.2018 (элемент «AcctNumberClass» Формата 5.06 принимает значение «2.0» - новый договор). </w:t>
            </w:r>
          </w:p>
          <w:p w14:paraId="27AFFE6C" w14:textId="77777777" w:rsidR="00BB4986" w:rsidRPr="00BB4986" w:rsidRDefault="00BB4986" w:rsidP="00BB4986">
            <w:pPr>
              <w:pStyle w:val="Default"/>
              <w:ind w:firstLine="738"/>
              <w:jc w:val="both"/>
              <w:rPr>
                <w:bCs/>
                <w:sz w:val="22"/>
                <w:szCs w:val="22"/>
              </w:rPr>
            </w:pPr>
            <w:r w:rsidRPr="00BB4986">
              <w:rPr>
                <w:bCs/>
                <w:sz w:val="22"/>
                <w:szCs w:val="22"/>
              </w:rPr>
              <w:lastRenderedPageBreak/>
              <w:t>Следовательно, согласно Формату в элементе «Категория договора (счета или его аналога)» (&lt;AcctNumberClass&gt;) Формата проставляется признак «1.1» (ранее заключенный договор) или «2.0» (новый договор) соответственно.</w:t>
            </w:r>
          </w:p>
          <w:p w14:paraId="25C04D0D" w14:textId="77777777" w:rsidR="00BB4986" w:rsidRPr="00BB4986" w:rsidRDefault="00BB4986" w:rsidP="00BB4986">
            <w:pPr>
              <w:pStyle w:val="Default"/>
              <w:ind w:firstLine="738"/>
              <w:jc w:val="both"/>
              <w:rPr>
                <w:bCs/>
                <w:sz w:val="22"/>
                <w:szCs w:val="22"/>
              </w:rPr>
            </w:pPr>
            <w:r w:rsidRPr="00BB4986">
              <w:rPr>
                <w:bCs/>
                <w:sz w:val="22"/>
                <w:szCs w:val="22"/>
              </w:rPr>
              <w:t>Одновременно следует отметить, что в соответствии с абзацами третьим и четвертым пункта 13 Положения, ОФР вправе квалифицировать новый договор, как ранее заключенный, при одновременном соблюдении следующих условий:</w:t>
            </w:r>
          </w:p>
          <w:p w14:paraId="5D58C111" w14:textId="77777777" w:rsidR="00BB4986" w:rsidRPr="00BB4986" w:rsidRDefault="006846A2" w:rsidP="00BB4986">
            <w:pPr>
              <w:pStyle w:val="Default"/>
              <w:ind w:firstLine="738"/>
              <w:jc w:val="both"/>
              <w:rPr>
                <w:bCs/>
                <w:sz w:val="22"/>
                <w:szCs w:val="22"/>
              </w:rPr>
            </w:pPr>
            <w:r>
              <w:rPr>
                <w:bCs/>
                <w:sz w:val="22"/>
                <w:szCs w:val="22"/>
              </w:rPr>
              <w:t xml:space="preserve">- </w:t>
            </w:r>
            <w:r w:rsidR="00BB4986" w:rsidRPr="00BB4986">
              <w:rPr>
                <w:bCs/>
                <w:sz w:val="22"/>
                <w:szCs w:val="22"/>
              </w:rPr>
              <w:t>новый договор заключен с клиентом, с которым у ОФР уже есть договор, заключенный до даты вступления в силу Положения;</w:t>
            </w:r>
          </w:p>
          <w:p w14:paraId="30F37EBF" w14:textId="77777777" w:rsidR="00BB4986" w:rsidRPr="00BB4986" w:rsidRDefault="006846A2" w:rsidP="00BB4986">
            <w:pPr>
              <w:pStyle w:val="Default"/>
              <w:ind w:firstLine="738"/>
              <w:jc w:val="both"/>
              <w:rPr>
                <w:bCs/>
                <w:sz w:val="22"/>
                <w:szCs w:val="22"/>
              </w:rPr>
            </w:pPr>
            <w:r>
              <w:rPr>
                <w:bCs/>
                <w:sz w:val="22"/>
                <w:szCs w:val="22"/>
              </w:rPr>
              <w:t xml:space="preserve">- </w:t>
            </w:r>
            <w:r w:rsidR="00BB4986" w:rsidRPr="00BB4986">
              <w:rPr>
                <w:bCs/>
                <w:sz w:val="22"/>
                <w:szCs w:val="22"/>
              </w:rPr>
              <w:t>при заключении нового договора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не требуется представление клиентом каких-либо документов или информации, помимо уже имеющихся в распоряжении ОФР.</w:t>
            </w:r>
          </w:p>
          <w:p w14:paraId="08522980" w14:textId="77777777" w:rsidR="00150796" w:rsidRDefault="00BB4986" w:rsidP="00BB4986">
            <w:pPr>
              <w:pStyle w:val="Default"/>
              <w:ind w:firstLine="738"/>
              <w:jc w:val="both"/>
              <w:rPr>
                <w:b/>
                <w:bCs/>
                <w:sz w:val="22"/>
                <w:szCs w:val="22"/>
              </w:rPr>
            </w:pPr>
            <w:r w:rsidRPr="00BB4986">
              <w:rPr>
                <w:bCs/>
                <w:sz w:val="22"/>
                <w:szCs w:val="22"/>
              </w:rPr>
              <w:t>В указанном случае, в элементе «Категория договора (счета или его аналога)» (&lt;«AcctNumberClass&gt;) Формата проставляется признак «1.2» (новый договор, квалифицируемый как ранее заключенный).</w:t>
            </w:r>
          </w:p>
        </w:tc>
      </w:tr>
      <w:tr w:rsidR="00F72726" w14:paraId="157F5BEF" w14:textId="77777777" w:rsidTr="00AF244E">
        <w:trPr>
          <w:cnfStyle w:val="000000010000" w:firstRow="0" w:lastRow="0" w:firstColumn="0" w:lastColumn="0" w:oddVBand="0" w:evenVBand="0" w:oddHBand="0" w:evenHBand="1" w:firstRowFirstColumn="0" w:firstRowLastColumn="0" w:lastRowFirstColumn="0" w:lastRowLastColumn="0"/>
          <w:trHeight w:val="110"/>
        </w:trPr>
        <w:tc>
          <w:tcPr>
            <w:tcW w:w="10490" w:type="dxa"/>
          </w:tcPr>
          <w:p w14:paraId="46D28684" w14:textId="3B6A0CCC" w:rsidR="00F72726" w:rsidRPr="00B62116" w:rsidRDefault="00F72726" w:rsidP="009B32B7">
            <w:pPr>
              <w:pStyle w:val="Default"/>
              <w:jc w:val="both"/>
              <w:rPr>
                <w:b/>
                <w:bCs/>
                <w:sz w:val="22"/>
                <w:szCs w:val="22"/>
                <w:highlight w:val="green"/>
              </w:rPr>
            </w:pPr>
            <w:r w:rsidRPr="00D540D3">
              <w:rPr>
                <w:b/>
                <w:bCs/>
                <w:sz w:val="22"/>
                <w:szCs w:val="22"/>
              </w:rPr>
              <w:lastRenderedPageBreak/>
              <w:t>13.7 Вопрос</w:t>
            </w:r>
            <w:r w:rsidR="00D540D3" w:rsidRPr="00D540D3">
              <w:rPr>
                <w:b/>
                <w:bCs/>
                <w:sz w:val="22"/>
                <w:szCs w:val="22"/>
              </w:rPr>
              <w:t xml:space="preserve"> (нов)</w:t>
            </w:r>
            <w:r w:rsidRPr="00D540D3">
              <w:rPr>
                <w:b/>
                <w:bCs/>
                <w:sz w:val="22"/>
                <w:szCs w:val="22"/>
              </w:rPr>
              <w:t>:</w:t>
            </w:r>
            <w:r w:rsidRPr="009B32B7">
              <w:rPr>
                <w:b/>
                <w:bCs/>
                <w:sz w:val="22"/>
                <w:szCs w:val="22"/>
              </w:rPr>
              <w:t xml:space="preserve"> </w:t>
            </w:r>
            <w:r w:rsidR="00615B3F" w:rsidRPr="009B32B7">
              <w:rPr>
                <w:bCs/>
                <w:sz w:val="22"/>
                <w:szCs w:val="22"/>
              </w:rPr>
              <w:t>Как</w:t>
            </w:r>
            <w:r w:rsidRPr="009B32B7">
              <w:rPr>
                <w:bCs/>
                <w:sz w:val="22"/>
                <w:szCs w:val="22"/>
              </w:rPr>
              <w:t xml:space="preserve"> заполн</w:t>
            </w:r>
            <w:r w:rsidR="00615B3F" w:rsidRPr="009B32B7">
              <w:rPr>
                <w:bCs/>
                <w:sz w:val="22"/>
                <w:szCs w:val="22"/>
              </w:rPr>
              <w:t>ять элементы</w:t>
            </w:r>
            <w:r w:rsidRPr="009B32B7">
              <w:rPr>
                <w:bCs/>
                <w:sz w:val="22"/>
                <w:szCs w:val="22"/>
              </w:rPr>
              <w:t xml:space="preserve"> </w:t>
            </w:r>
            <w:r w:rsidR="00615B3F" w:rsidRPr="009B32B7">
              <w:rPr>
                <w:bCs/>
                <w:sz w:val="22"/>
                <w:szCs w:val="22"/>
              </w:rPr>
              <w:t>«Имя» (&lt;</w:t>
            </w:r>
            <w:r w:rsidRPr="009B32B7">
              <w:rPr>
                <w:bCs/>
                <w:sz w:val="22"/>
                <w:szCs w:val="22"/>
              </w:rPr>
              <w:t>FirstName</w:t>
            </w:r>
            <w:r w:rsidR="00615B3F" w:rsidRPr="009B32B7">
              <w:rPr>
                <w:bCs/>
                <w:sz w:val="22"/>
                <w:szCs w:val="22"/>
              </w:rPr>
              <w:t xml:space="preserve">&gt;) </w:t>
            </w:r>
            <w:r w:rsidRPr="009B32B7">
              <w:rPr>
                <w:bCs/>
                <w:sz w:val="22"/>
                <w:szCs w:val="22"/>
              </w:rPr>
              <w:t xml:space="preserve">и </w:t>
            </w:r>
            <w:r w:rsidR="00615B3F" w:rsidRPr="009B32B7">
              <w:rPr>
                <w:bCs/>
                <w:sz w:val="22"/>
                <w:szCs w:val="22"/>
              </w:rPr>
              <w:t>«Фамилия» (&lt;</w:t>
            </w:r>
            <w:r w:rsidRPr="009B32B7">
              <w:rPr>
                <w:bCs/>
                <w:sz w:val="22"/>
                <w:szCs w:val="22"/>
              </w:rPr>
              <w:t>LastName</w:t>
            </w:r>
            <w:r w:rsidR="00615B3F" w:rsidRPr="009B32B7">
              <w:rPr>
                <w:bCs/>
                <w:sz w:val="22"/>
                <w:szCs w:val="22"/>
              </w:rPr>
              <w:t>&gt;) Формата</w:t>
            </w:r>
            <w:r w:rsidR="00A27F0A" w:rsidRPr="009B32B7">
              <w:rPr>
                <w:bCs/>
                <w:sz w:val="22"/>
                <w:szCs w:val="22"/>
              </w:rPr>
              <w:t xml:space="preserve"> в случаях, к</w:t>
            </w:r>
            <w:r w:rsidR="001958A0">
              <w:rPr>
                <w:bCs/>
                <w:sz w:val="22"/>
                <w:szCs w:val="22"/>
              </w:rPr>
              <w:t>огда у физического лица в документе удостоверяющим личность указано только Имя, отсутствует Фамилия?</w:t>
            </w:r>
            <w:r w:rsidR="009B32B7" w:rsidRPr="009B32B7">
              <w:rPr>
                <w:bCs/>
                <w:sz w:val="22"/>
                <w:szCs w:val="22"/>
              </w:rPr>
              <w:t xml:space="preserve"> </w:t>
            </w:r>
          </w:p>
        </w:tc>
      </w:tr>
      <w:tr w:rsidR="00F72726" w14:paraId="7F076A5A" w14:textId="77777777" w:rsidTr="00AF244E">
        <w:trPr>
          <w:trHeight w:val="110"/>
        </w:trPr>
        <w:tc>
          <w:tcPr>
            <w:tcW w:w="1049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9C236A" w14:textId="6D2EF686" w:rsidR="00F72726" w:rsidRPr="00B62116" w:rsidRDefault="00F72726" w:rsidP="009B32B7">
            <w:pPr>
              <w:pStyle w:val="Default"/>
              <w:ind w:firstLine="738"/>
              <w:jc w:val="both"/>
              <w:rPr>
                <w:bCs/>
                <w:sz w:val="22"/>
                <w:szCs w:val="22"/>
                <w:highlight w:val="green"/>
              </w:rPr>
            </w:pPr>
            <w:r w:rsidRPr="009B32B7">
              <w:rPr>
                <w:b/>
                <w:bCs/>
                <w:sz w:val="22"/>
                <w:szCs w:val="22"/>
              </w:rPr>
              <w:t xml:space="preserve">Ответ: </w:t>
            </w:r>
            <w:r w:rsidRPr="009B32B7">
              <w:rPr>
                <w:bCs/>
                <w:sz w:val="22"/>
                <w:szCs w:val="22"/>
              </w:rPr>
              <w:t xml:space="preserve">Если </w:t>
            </w:r>
            <w:r w:rsidR="009B32B7" w:rsidRPr="009B32B7">
              <w:rPr>
                <w:bCs/>
                <w:sz w:val="22"/>
                <w:szCs w:val="22"/>
              </w:rPr>
              <w:t xml:space="preserve">у клиента согласно документу, удостоверяющему личность, имя является мононимом или единственным именем, то элемент «Имя» (&lt;FirstName&gt;) </w:t>
            </w:r>
            <w:r w:rsidR="003C581C">
              <w:rPr>
                <w:bCs/>
                <w:sz w:val="22"/>
                <w:szCs w:val="22"/>
              </w:rPr>
              <w:t xml:space="preserve">Формата </w:t>
            </w:r>
            <w:r w:rsidR="009B32B7" w:rsidRPr="009B32B7">
              <w:rPr>
                <w:bCs/>
                <w:sz w:val="22"/>
                <w:szCs w:val="22"/>
              </w:rPr>
              <w:t>д</w:t>
            </w:r>
            <w:r w:rsidR="009B32B7">
              <w:rPr>
                <w:bCs/>
                <w:sz w:val="22"/>
                <w:szCs w:val="22"/>
              </w:rPr>
              <w:t>олжен быть заполнен аббревиатурой «NFN» («No First Name»</w:t>
            </w:r>
            <w:r w:rsidR="009B32B7" w:rsidRPr="009B32B7">
              <w:rPr>
                <w:bCs/>
                <w:sz w:val="22"/>
                <w:szCs w:val="22"/>
              </w:rPr>
              <w:t xml:space="preserve">/«Нет Имени»), а </w:t>
            </w:r>
            <w:r w:rsidR="009B32B7">
              <w:rPr>
                <w:bCs/>
                <w:sz w:val="22"/>
                <w:szCs w:val="22"/>
              </w:rPr>
              <w:t xml:space="preserve">элемент </w:t>
            </w:r>
            <w:r w:rsidR="009B32B7" w:rsidRPr="009B32B7">
              <w:rPr>
                <w:bCs/>
                <w:sz w:val="22"/>
                <w:szCs w:val="22"/>
              </w:rPr>
              <w:t>«Фамилия» (&lt;LastName</w:t>
            </w:r>
            <w:r w:rsidR="009B32B7">
              <w:rPr>
                <w:bCs/>
                <w:sz w:val="22"/>
                <w:szCs w:val="22"/>
              </w:rPr>
              <w:t>&gt;</w:t>
            </w:r>
            <w:r w:rsidR="009B32B7" w:rsidRPr="009B32B7">
              <w:rPr>
                <w:bCs/>
                <w:sz w:val="22"/>
                <w:szCs w:val="22"/>
              </w:rPr>
              <w:t>)</w:t>
            </w:r>
            <w:r w:rsidR="003C581C">
              <w:rPr>
                <w:bCs/>
                <w:sz w:val="22"/>
                <w:szCs w:val="22"/>
              </w:rPr>
              <w:t xml:space="preserve"> Формата</w:t>
            </w:r>
            <w:r w:rsidR="009B32B7" w:rsidRPr="009B32B7">
              <w:rPr>
                <w:bCs/>
                <w:sz w:val="22"/>
                <w:szCs w:val="22"/>
              </w:rPr>
              <w:t xml:space="preserve"> должно быть заполн</w:t>
            </w:r>
            <w:r w:rsidR="009B32B7">
              <w:rPr>
                <w:bCs/>
                <w:sz w:val="22"/>
                <w:szCs w:val="22"/>
              </w:rPr>
              <w:t>ен</w:t>
            </w:r>
            <w:r w:rsidR="009B32B7" w:rsidRPr="009B32B7">
              <w:rPr>
                <w:bCs/>
                <w:sz w:val="22"/>
                <w:szCs w:val="22"/>
              </w:rPr>
              <w:t xml:space="preserve"> мононимом </w:t>
            </w:r>
            <w:r w:rsidR="009B32B7">
              <w:rPr>
                <w:bCs/>
                <w:sz w:val="22"/>
                <w:szCs w:val="22"/>
              </w:rPr>
              <w:t xml:space="preserve">или единственным именем </w:t>
            </w:r>
            <w:r w:rsidR="009B32B7" w:rsidRPr="009B32B7">
              <w:rPr>
                <w:bCs/>
                <w:sz w:val="22"/>
                <w:szCs w:val="22"/>
              </w:rPr>
              <w:t>владельца счета.</w:t>
            </w:r>
          </w:p>
        </w:tc>
      </w:tr>
    </w:tbl>
    <w:p w14:paraId="79980F1E" w14:textId="77777777" w:rsidR="00D05E6E" w:rsidRDefault="00D05E6E" w:rsidP="005D5253">
      <w:pPr>
        <w:ind w:firstLine="709"/>
        <w:jc w:val="both"/>
      </w:pPr>
    </w:p>
    <w:tbl>
      <w:tblPr>
        <w:tblStyle w:val="11"/>
        <w:tblW w:w="10490" w:type="dxa"/>
        <w:tblLayout w:type="fixed"/>
        <w:tblLook w:val="0400" w:firstRow="0" w:lastRow="0" w:firstColumn="0" w:lastColumn="0" w:noHBand="0" w:noVBand="1"/>
      </w:tblPr>
      <w:tblGrid>
        <w:gridCol w:w="10490"/>
      </w:tblGrid>
      <w:tr w:rsidR="00955F9A" w:rsidRPr="00AF5E31" w14:paraId="74F64A30" w14:textId="77777777" w:rsidTr="009E3B98">
        <w:trPr>
          <w:trHeight w:val="110"/>
        </w:trPr>
        <w:tc>
          <w:tcPr>
            <w:tcW w:w="10490" w:type="dxa"/>
            <w:shd w:val="clear" w:color="auto" w:fill="0D76BB"/>
          </w:tcPr>
          <w:p w14:paraId="5988ECEE" w14:textId="77777777" w:rsidR="00955F9A" w:rsidRPr="00AF5E31" w:rsidRDefault="007A0A56" w:rsidP="00F71824">
            <w:pPr>
              <w:pStyle w:val="Default"/>
              <w:jc w:val="center"/>
              <w:outlineLvl w:val="0"/>
              <w:rPr>
                <w:b/>
                <w:sz w:val="22"/>
                <w:szCs w:val="22"/>
              </w:rPr>
            </w:pPr>
            <w:bookmarkStart w:id="6" w:name="_Toc199961153"/>
            <w:r w:rsidRPr="00955F9A">
              <w:rPr>
                <w:b/>
                <w:color w:val="FFFFFF" w:themeColor="background1"/>
                <w:sz w:val="22"/>
                <w:szCs w:val="22"/>
              </w:rPr>
              <w:t>XIV. ПРИЗНАКИ СВЯЗИ С ИНОСТРАННЫМ ГОСУДАРСТВОМ</w:t>
            </w:r>
            <w:bookmarkEnd w:id="6"/>
          </w:p>
        </w:tc>
      </w:tr>
      <w:tr w:rsidR="00955F9A" w14:paraId="4F677C0C" w14:textId="77777777" w:rsidTr="00955F9A">
        <w:trPr>
          <w:cnfStyle w:val="000000010000" w:firstRow="0" w:lastRow="0" w:firstColumn="0" w:lastColumn="0" w:oddVBand="0" w:evenVBand="0" w:oddHBand="0" w:evenHBand="1" w:firstRowFirstColumn="0" w:firstRowLastColumn="0" w:lastRowFirstColumn="0" w:lastRowLastColumn="0"/>
          <w:trHeight w:val="445"/>
        </w:trPr>
        <w:tc>
          <w:tcPr>
            <w:tcW w:w="10490" w:type="dxa"/>
            <w:shd w:val="clear" w:color="auto" w:fill="DEEAF6" w:themeFill="accent1" w:themeFillTint="33"/>
          </w:tcPr>
          <w:p w14:paraId="27890A93" w14:textId="77777777" w:rsidR="00955F9A" w:rsidRDefault="00EA3B9E" w:rsidP="00F44B53">
            <w:pPr>
              <w:pStyle w:val="Default"/>
              <w:jc w:val="both"/>
              <w:rPr>
                <w:sz w:val="22"/>
                <w:szCs w:val="22"/>
              </w:rPr>
            </w:pPr>
            <w:r w:rsidRPr="00D540D3">
              <w:rPr>
                <w:b/>
                <w:sz w:val="22"/>
                <w:szCs w:val="22"/>
              </w:rPr>
              <w:t>14.1</w:t>
            </w:r>
            <w:r w:rsidR="00983B27" w:rsidRPr="00D540D3">
              <w:rPr>
                <w:b/>
                <w:sz w:val="22"/>
                <w:szCs w:val="22"/>
              </w:rPr>
              <w:t xml:space="preserve"> Вопрос:</w:t>
            </w:r>
            <w:r w:rsidR="00983B27" w:rsidRPr="00983B27">
              <w:rPr>
                <w:sz w:val="22"/>
                <w:szCs w:val="22"/>
              </w:rPr>
              <w:t xml:space="preserve"> Необходимо ли ОФР запросить у клиента, предоставившего информацию о том, что он является налоговым резидентом иностранного государства «гражданство/резидентство взамен на инвестиции», дополнительную информацию о наличии у данного клиента иного налогового резидентства?</w:t>
            </w:r>
          </w:p>
        </w:tc>
      </w:tr>
      <w:tr w:rsidR="004830E5" w14:paraId="155AB1AA" w14:textId="77777777" w:rsidTr="00955F9A">
        <w:trPr>
          <w:trHeight w:val="110"/>
        </w:trPr>
        <w:tc>
          <w:tcPr>
            <w:tcW w:w="1049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59212E" w14:textId="5D55223F" w:rsidR="004830E5" w:rsidRPr="00983B27" w:rsidRDefault="004830E5" w:rsidP="00F44B53">
            <w:pPr>
              <w:pStyle w:val="Default"/>
              <w:ind w:firstLine="738"/>
              <w:jc w:val="both"/>
              <w:rPr>
                <w:b/>
                <w:sz w:val="22"/>
                <w:szCs w:val="22"/>
              </w:rPr>
            </w:pPr>
            <w:r w:rsidRPr="00983B27">
              <w:rPr>
                <w:b/>
                <w:sz w:val="22"/>
                <w:szCs w:val="22"/>
              </w:rPr>
              <w:t xml:space="preserve">Ответ: </w:t>
            </w:r>
            <w:r w:rsidRPr="00983B27">
              <w:rPr>
                <w:sz w:val="22"/>
                <w:szCs w:val="22"/>
              </w:rPr>
              <w:t>Элемент «Результаты запроса владельца договора (счета или его аналога) физического лица, имеющего признаки связи с иностранным государством, предоставляющим программы «гражданство/резидентство в обмен на инвестиции»» (&lt;RequestOffshoreResult&gt; Таблица 4.12 Формата) заполняется обязательно, при условии, если элемент «Государство (территория) налогового резидентства, в отношении которого представляются данные о TIN» (&lt;ResCountryCodeRepeat&gt; Таблица 4.12 Формата) принимает коды иностранных государств (территорий), перечисленных в разделе «Резидентство/гражданство в обмен на инвестиции» портала ОЭСР по автоматическому обмену информацией.</w:t>
            </w:r>
          </w:p>
        </w:tc>
      </w:tr>
      <w:tr w:rsidR="00955F9A" w14:paraId="60D9A90C" w14:textId="77777777" w:rsidTr="00955F9A">
        <w:trPr>
          <w:cnfStyle w:val="000000010000" w:firstRow="0" w:lastRow="0" w:firstColumn="0" w:lastColumn="0" w:oddVBand="0" w:evenVBand="0" w:oddHBand="0" w:evenHBand="1" w:firstRowFirstColumn="0" w:firstRowLastColumn="0" w:lastRowFirstColumn="0" w:lastRowLastColumn="0"/>
          <w:trHeight w:val="110"/>
        </w:trPr>
        <w:tc>
          <w:tcPr>
            <w:tcW w:w="10490" w:type="dxa"/>
          </w:tcPr>
          <w:p w14:paraId="500EBF9C" w14:textId="6302E506" w:rsidR="00955F9A" w:rsidRDefault="004830E5" w:rsidP="004830E5">
            <w:pPr>
              <w:pStyle w:val="Default"/>
              <w:jc w:val="both"/>
              <w:rPr>
                <w:sz w:val="22"/>
                <w:szCs w:val="22"/>
              </w:rPr>
            </w:pPr>
            <w:r w:rsidRPr="00D540D3">
              <w:rPr>
                <w:b/>
                <w:sz w:val="22"/>
                <w:szCs w:val="22"/>
              </w:rPr>
              <w:t>14.2 Вопрос:</w:t>
            </w:r>
            <w:r>
              <w:rPr>
                <w:b/>
                <w:bCs/>
                <w:sz w:val="22"/>
                <w:szCs w:val="22"/>
              </w:rPr>
              <w:t xml:space="preserve"> </w:t>
            </w:r>
            <w:r w:rsidRPr="00B403F8">
              <w:rPr>
                <w:sz w:val="22"/>
                <w:szCs w:val="22"/>
              </w:rPr>
              <w:t>Является ли основанием для присвоения статуса налогового резидента иностранного государства наличие у физического лица иностранного паспорта/гражданства иностранного государства?</w:t>
            </w:r>
          </w:p>
        </w:tc>
      </w:tr>
      <w:tr w:rsidR="004830E5" w14:paraId="5AEF8E77" w14:textId="77777777" w:rsidTr="00955F9A">
        <w:trPr>
          <w:trHeight w:val="110"/>
        </w:trPr>
        <w:tc>
          <w:tcPr>
            <w:tcW w:w="1049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AA0F71" w14:textId="77777777" w:rsidR="004830E5" w:rsidRDefault="004830E5" w:rsidP="004830E5">
            <w:pPr>
              <w:pStyle w:val="Default"/>
              <w:ind w:firstLine="738"/>
              <w:jc w:val="both"/>
              <w:rPr>
                <w:sz w:val="22"/>
                <w:szCs w:val="22"/>
              </w:rPr>
            </w:pPr>
            <w:r>
              <w:rPr>
                <w:b/>
                <w:bCs/>
                <w:sz w:val="22"/>
                <w:szCs w:val="22"/>
              </w:rPr>
              <w:t xml:space="preserve">Ответ: </w:t>
            </w:r>
            <w:r w:rsidRPr="00B403F8">
              <w:rPr>
                <w:sz w:val="22"/>
                <w:szCs w:val="22"/>
              </w:rPr>
              <w:t>Признаки принадлежности к иностранному государству для целей определения налогового резидентства клиента, его выгодоприобретателя или лица, прямо или косвенно его контролирующего, установлены Приложением № 2 к Положению.</w:t>
            </w:r>
          </w:p>
          <w:p w14:paraId="311F5BBC" w14:textId="77777777" w:rsidR="004830E5" w:rsidRDefault="004830E5" w:rsidP="004830E5">
            <w:pPr>
              <w:pStyle w:val="Default"/>
              <w:ind w:firstLine="738"/>
              <w:jc w:val="both"/>
              <w:rPr>
                <w:sz w:val="22"/>
                <w:szCs w:val="22"/>
              </w:rPr>
            </w:pPr>
            <w:r>
              <w:rPr>
                <w:sz w:val="22"/>
                <w:szCs w:val="22"/>
              </w:rPr>
              <w:t xml:space="preserve">Иностранное гражданство не является самостоятельным признаком принадлежности к иностранному государства согласно </w:t>
            </w:r>
            <w:r w:rsidRPr="00B403F8">
              <w:rPr>
                <w:sz w:val="22"/>
                <w:szCs w:val="22"/>
              </w:rPr>
              <w:t>Приложением № 2 к Положению.</w:t>
            </w:r>
          </w:p>
          <w:p w14:paraId="1B0F148A" w14:textId="77777777" w:rsidR="004830E5" w:rsidRPr="00B403F8" w:rsidRDefault="004830E5" w:rsidP="004830E5">
            <w:pPr>
              <w:pStyle w:val="Default"/>
              <w:ind w:firstLine="738"/>
              <w:jc w:val="both"/>
              <w:rPr>
                <w:sz w:val="22"/>
                <w:szCs w:val="22"/>
              </w:rPr>
            </w:pPr>
            <w:r>
              <w:rPr>
                <w:sz w:val="22"/>
                <w:szCs w:val="22"/>
              </w:rPr>
              <w:t>Однако, п</w:t>
            </w:r>
            <w:r w:rsidRPr="00B403F8">
              <w:rPr>
                <w:sz w:val="22"/>
                <w:szCs w:val="22"/>
              </w:rPr>
              <w:t>рименительно к случаям наличия у клиента – физического лица иностранного гражданства, то необходимо учитывать следующее.</w:t>
            </w:r>
          </w:p>
          <w:p w14:paraId="2C93B26C" w14:textId="77777777" w:rsidR="004830E5" w:rsidRPr="00B403F8" w:rsidRDefault="004830E5" w:rsidP="004830E5">
            <w:pPr>
              <w:pStyle w:val="Default"/>
              <w:ind w:firstLine="738"/>
              <w:jc w:val="both"/>
              <w:rPr>
                <w:sz w:val="22"/>
                <w:szCs w:val="22"/>
              </w:rPr>
            </w:pPr>
            <w:r w:rsidRPr="00B403F8">
              <w:rPr>
                <w:sz w:val="22"/>
                <w:szCs w:val="22"/>
              </w:rPr>
              <w:t>1) Иностранное гражданство физического лица, по общему правилу, не является самостоятельным основанием для признания такого лица налоговым резидентом иностранного государства (территории). Однако, указанное также не означает, что иностранный гражданин не является иностранным налоговым резидентом</w:t>
            </w:r>
            <w:r>
              <w:rPr>
                <w:sz w:val="22"/>
                <w:szCs w:val="22"/>
              </w:rPr>
              <w:t xml:space="preserve"> такого государства</w:t>
            </w:r>
            <w:r w:rsidRPr="00B403F8">
              <w:rPr>
                <w:sz w:val="22"/>
                <w:szCs w:val="22"/>
              </w:rPr>
              <w:t>;</w:t>
            </w:r>
          </w:p>
          <w:p w14:paraId="3930AD3B" w14:textId="77777777" w:rsidR="004830E5" w:rsidRDefault="004830E5" w:rsidP="004830E5">
            <w:pPr>
              <w:pStyle w:val="Default"/>
              <w:ind w:firstLine="738"/>
              <w:jc w:val="both"/>
              <w:rPr>
                <w:sz w:val="22"/>
                <w:szCs w:val="22"/>
              </w:rPr>
            </w:pPr>
            <w:r w:rsidRPr="00B403F8">
              <w:rPr>
                <w:sz w:val="22"/>
                <w:szCs w:val="22"/>
              </w:rPr>
              <w:t>2) Факт наличия у клиента иностранного гражданства, особенно одновременно с наличием временных документов, ограничивающих срок пребывания на территории Российской Федерации, могут свидетельствовать о том, что клиент фактически проживает в иностранном государстве, и является иностранным налоговым резидентом.</w:t>
            </w:r>
          </w:p>
          <w:p w14:paraId="1B727BAA" w14:textId="77777777" w:rsidR="004830E5" w:rsidRPr="00813E64" w:rsidRDefault="004830E5" w:rsidP="004830E5">
            <w:pPr>
              <w:pStyle w:val="Default"/>
              <w:ind w:firstLine="738"/>
              <w:jc w:val="both"/>
              <w:rPr>
                <w:sz w:val="22"/>
                <w:szCs w:val="22"/>
              </w:rPr>
            </w:pPr>
            <w:r>
              <w:rPr>
                <w:sz w:val="22"/>
                <w:szCs w:val="22"/>
              </w:rPr>
              <w:t xml:space="preserve">Признаки сформулированы на основании судебной практики </w:t>
            </w:r>
            <w:r w:rsidRPr="00813E64">
              <w:rPr>
                <w:sz w:val="22"/>
                <w:szCs w:val="22"/>
              </w:rPr>
              <w:t>(</w:t>
            </w:r>
            <w:r w:rsidRPr="00813E64">
              <w:rPr>
                <w:bCs/>
                <w:sz w:val="22"/>
                <w:szCs w:val="22"/>
              </w:rPr>
              <w:t>постановление АС Московского округа по делу №А40-142959/2022 от 12.04.2023).</w:t>
            </w:r>
          </w:p>
          <w:p w14:paraId="4348CD0F" w14:textId="11FEEA53" w:rsidR="004830E5" w:rsidRDefault="004830E5" w:rsidP="004830E5">
            <w:pPr>
              <w:pStyle w:val="Default"/>
              <w:ind w:firstLine="738"/>
              <w:jc w:val="both"/>
              <w:rPr>
                <w:sz w:val="22"/>
                <w:szCs w:val="22"/>
              </w:rPr>
            </w:pPr>
            <w:r w:rsidRPr="00B403F8">
              <w:rPr>
                <w:sz w:val="22"/>
                <w:szCs w:val="22"/>
              </w:rPr>
              <w:t xml:space="preserve">Кроме того, такие факты как представление паспорта иностранного гражданина при заключении договора, указание иностранного номера в качестве контактного номера мобильного телефона в заявлении на подключение/отключение к Системе дистанционного обслуживания Банка, а также ограниченное пребывание на территории РФ (90 дней) согласно данным миграционного учёта (миграционной карте и уведомлению о прибытии иностранного гражданина или лица без гражданства) свидетельствует о </w:t>
            </w:r>
            <w:r w:rsidRPr="00B403F8">
              <w:rPr>
                <w:sz w:val="22"/>
                <w:szCs w:val="22"/>
              </w:rPr>
              <w:lastRenderedPageBreak/>
              <w:t>достаточности полученной ОФР информации о клиенте для определения налогового резидентства в целях выполнения норм главы 20.1 Кодекса и Постановления.</w:t>
            </w:r>
          </w:p>
        </w:tc>
      </w:tr>
    </w:tbl>
    <w:p w14:paraId="7413A2E3" w14:textId="77777777" w:rsidR="00F44B53" w:rsidRPr="00EB4342" w:rsidRDefault="00F44B53" w:rsidP="002E7295">
      <w:pPr>
        <w:jc w:val="both"/>
      </w:pPr>
    </w:p>
    <w:sectPr w:rsidR="00F44B53" w:rsidRPr="00EB4342" w:rsidSect="00D1577D">
      <w:footerReference w:type="default" r:id="rId8"/>
      <w:pgSz w:w="11906" w:h="16838"/>
      <w:pgMar w:top="0" w:right="720" w:bottom="142"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DAC79" w14:textId="77777777" w:rsidR="00BC70C0" w:rsidRDefault="00BC70C0" w:rsidP="00EB4342">
      <w:pPr>
        <w:spacing w:after="0" w:line="240" w:lineRule="auto"/>
      </w:pPr>
      <w:r>
        <w:separator/>
      </w:r>
    </w:p>
  </w:endnote>
  <w:endnote w:type="continuationSeparator" w:id="0">
    <w:p w14:paraId="5262AB32" w14:textId="77777777" w:rsidR="00BC70C0" w:rsidRDefault="00BC70C0" w:rsidP="00EB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Основной текст)">
    <w:altName w:val="Calibri"/>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Заголовки)">
    <w:charset w:val="00"/>
    <w:family w:val="roman"/>
    <w:pitch w:val="default"/>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033680"/>
      <w:docPartObj>
        <w:docPartGallery w:val="Page Numbers (Bottom of Page)"/>
        <w:docPartUnique/>
      </w:docPartObj>
    </w:sdtPr>
    <w:sdtEndPr/>
    <w:sdtContent>
      <w:p w14:paraId="4B71BF89" w14:textId="77777777" w:rsidR="00907CB4" w:rsidRDefault="00907CB4">
        <w:pPr>
          <w:pStyle w:val="a5"/>
          <w:jc w:val="center"/>
        </w:pPr>
        <w:r>
          <w:fldChar w:fldCharType="begin"/>
        </w:r>
        <w:r>
          <w:instrText>PAGE   \* MERGEFORMAT</w:instrText>
        </w:r>
        <w:r>
          <w:fldChar w:fldCharType="separate"/>
        </w:r>
        <w:r w:rsidR="005E5A9F">
          <w:rPr>
            <w:noProof/>
          </w:rPr>
          <w:t>3</w:t>
        </w:r>
        <w:r>
          <w:fldChar w:fldCharType="end"/>
        </w:r>
      </w:p>
    </w:sdtContent>
  </w:sdt>
  <w:p w14:paraId="65CDD7B7" w14:textId="77777777" w:rsidR="00907CB4" w:rsidRDefault="00907C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5AC83" w14:textId="77777777" w:rsidR="00BC70C0" w:rsidRDefault="00BC70C0" w:rsidP="00EB4342">
      <w:pPr>
        <w:spacing w:after="0" w:line="240" w:lineRule="auto"/>
      </w:pPr>
      <w:r>
        <w:separator/>
      </w:r>
    </w:p>
  </w:footnote>
  <w:footnote w:type="continuationSeparator" w:id="0">
    <w:p w14:paraId="62AC9590" w14:textId="77777777" w:rsidR="00BC70C0" w:rsidRDefault="00BC70C0" w:rsidP="00EB4342">
      <w:pPr>
        <w:spacing w:after="0" w:line="240" w:lineRule="auto"/>
      </w:pPr>
      <w:r>
        <w:continuationSeparator/>
      </w:r>
    </w:p>
  </w:footnote>
  <w:footnote w:id="1">
    <w:p w14:paraId="78D4D2C8" w14:textId="77777777" w:rsidR="00547007" w:rsidRPr="00D1577D" w:rsidRDefault="00547007" w:rsidP="00622B7C">
      <w:pPr>
        <w:spacing w:after="0"/>
        <w:rPr>
          <w:rFonts w:eastAsia="Times New Roman"/>
          <w:sz w:val="12"/>
          <w:szCs w:val="12"/>
        </w:rPr>
      </w:pPr>
      <w:r w:rsidRPr="00D1577D">
        <w:rPr>
          <w:rStyle w:val="aa"/>
          <w:sz w:val="12"/>
          <w:szCs w:val="12"/>
        </w:rPr>
        <w:footnoteRef/>
      </w:r>
      <w:r w:rsidRPr="00D1577D">
        <w:rPr>
          <w:sz w:val="12"/>
          <w:szCs w:val="12"/>
        </w:rPr>
        <w:t xml:space="preserve"> </w:t>
      </w:r>
      <w:hyperlink r:id="rId1" w:history="1">
        <w:r w:rsidRPr="00D1577D">
          <w:rPr>
            <w:rStyle w:val="ac"/>
            <w:rFonts w:eastAsia="Times New Roman"/>
            <w:sz w:val="12"/>
            <w:szCs w:val="12"/>
          </w:rPr>
          <w:t>https://data.nalog.ru/html/sites/www.340fzreport.nalog.ru/doc/rec_693.docx</w:t>
        </w:r>
      </w:hyperlink>
    </w:p>
  </w:footnote>
  <w:footnote w:id="2">
    <w:p w14:paraId="17A74B67" w14:textId="77777777" w:rsidR="00EC6713" w:rsidRPr="00D1577D" w:rsidRDefault="00EC6713">
      <w:pPr>
        <w:pStyle w:val="a8"/>
        <w:rPr>
          <w:sz w:val="12"/>
          <w:szCs w:val="12"/>
        </w:rPr>
      </w:pPr>
      <w:r w:rsidRPr="00D1577D">
        <w:rPr>
          <w:rStyle w:val="aa"/>
          <w:sz w:val="12"/>
          <w:szCs w:val="12"/>
        </w:rPr>
        <w:footnoteRef/>
      </w:r>
      <w:r w:rsidRPr="00D1577D">
        <w:rPr>
          <w:sz w:val="12"/>
          <w:szCs w:val="12"/>
        </w:rPr>
        <w:t xml:space="preserve"> </w:t>
      </w:r>
      <w:hyperlink r:id="rId2" w:history="1">
        <w:r w:rsidRPr="00D1577D">
          <w:rPr>
            <w:rStyle w:val="ac"/>
            <w:sz w:val="12"/>
            <w:szCs w:val="12"/>
          </w:rPr>
          <w:t>https://data.nalog.ru/html/sites/www.340fzreport.nalog.ru/doc/format_CRS_UVCRS_05_06_01_10042023.pdf</w:t>
        </w:r>
      </w:hyperlink>
    </w:p>
  </w:footnote>
  <w:footnote w:id="3">
    <w:p w14:paraId="080474EE" w14:textId="77777777" w:rsidR="00907CB4" w:rsidRDefault="00907CB4">
      <w:pPr>
        <w:pStyle w:val="a8"/>
      </w:pPr>
      <w:r>
        <w:rPr>
          <w:rStyle w:val="aa"/>
        </w:rPr>
        <w:footnoteRef/>
      </w:r>
      <w:r>
        <w:t xml:space="preserve"> </w:t>
      </w:r>
      <w:hyperlink r:id="rId3" w:history="1">
        <w:r w:rsidRPr="00547EA3">
          <w:rPr>
            <w:rStyle w:val="ac"/>
          </w:rPr>
          <w:t>https://m4d.nalog.gov.ru/emchd/create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07CB3"/>
    <w:multiLevelType w:val="hybridMultilevel"/>
    <w:tmpl w:val="4346400A"/>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1">
    <w:nsid w:val="34ED28A1"/>
    <w:multiLevelType w:val="hybridMultilevel"/>
    <w:tmpl w:val="BF886B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69D04E3"/>
    <w:multiLevelType w:val="hybridMultilevel"/>
    <w:tmpl w:val="4C8C00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72E505A"/>
    <w:multiLevelType w:val="hybridMultilevel"/>
    <w:tmpl w:val="CAB6673E"/>
    <w:lvl w:ilvl="0" w:tplc="427C15DA">
      <w:start w:val="1"/>
      <w:numFmt w:val="upperRoman"/>
      <w:lvlText w:val="%1."/>
      <w:lvlJc w:val="left"/>
      <w:pPr>
        <w:ind w:left="1542" w:hanging="161"/>
      </w:pPr>
      <w:rPr>
        <w:rFonts w:ascii="Arial" w:eastAsia="Arial" w:hAnsi="Arial" w:cs="Arial" w:hint="default"/>
        <w:b w:val="0"/>
        <w:bCs w:val="0"/>
        <w:i w:val="0"/>
        <w:iCs w:val="0"/>
        <w:spacing w:val="-1"/>
        <w:w w:val="91"/>
        <w:sz w:val="22"/>
        <w:szCs w:val="22"/>
        <w:lang w:val="ru-RU" w:eastAsia="en-US" w:bidi="ar-SA"/>
      </w:rPr>
    </w:lvl>
    <w:lvl w:ilvl="1" w:tplc="C9C041F8">
      <w:numFmt w:val="bullet"/>
      <w:lvlText w:val="•"/>
      <w:lvlJc w:val="left"/>
      <w:pPr>
        <w:ind w:left="2514" w:hanging="161"/>
      </w:pPr>
      <w:rPr>
        <w:rFonts w:hint="default"/>
        <w:lang w:val="ru-RU" w:eastAsia="en-US" w:bidi="ar-SA"/>
      </w:rPr>
    </w:lvl>
    <w:lvl w:ilvl="2" w:tplc="3280AAD0">
      <w:numFmt w:val="bullet"/>
      <w:lvlText w:val="•"/>
      <w:lvlJc w:val="left"/>
      <w:pPr>
        <w:ind w:left="3489" w:hanging="161"/>
      </w:pPr>
      <w:rPr>
        <w:rFonts w:hint="default"/>
        <w:lang w:val="ru-RU" w:eastAsia="en-US" w:bidi="ar-SA"/>
      </w:rPr>
    </w:lvl>
    <w:lvl w:ilvl="3" w:tplc="5E22A2BE">
      <w:numFmt w:val="bullet"/>
      <w:lvlText w:val="•"/>
      <w:lvlJc w:val="left"/>
      <w:pPr>
        <w:ind w:left="4463" w:hanging="161"/>
      </w:pPr>
      <w:rPr>
        <w:rFonts w:hint="default"/>
        <w:lang w:val="ru-RU" w:eastAsia="en-US" w:bidi="ar-SA"/>
      </w:rPr>
    </w:lvl>
    <w:lvl w:ilvl="4" w:tplc="E6E80394">
      <w:numFmt w:val="bullet"/>
      <w:lvlText w:val="•"/>
      <w:lvlJc w:val="left"/>
      <w:pPr>
        <w:ind w:left="5438" w:hanging="161"/>
      </w:pPr>
      <w:rPr>
        <w:rFonts w:hint="default"/>
        <w:lang w:val="ru-RU" w:eastAsia="en-US" w:bidi="ar-SA"/>
      </w:rPr>
    </w:lvl>
    <w:lvl w:ilvl="5" w:tplc="B3EABFFA">
      <w:numFmt w:val="bullet"/>
      <w:lvlText w:val="•"/>
      <w:lvlJc w:val="left"/>
      <w:pPr>
        <w:ind w:left="6413" w:hanging="161"/>
      </w:pPr>
      <w:rPr>
        <w:rFonts w:hint="default"/>
        <w:lang w:val="ru-RU" w:eastAsia="en-US" w:bidi="ar-SA"/>
      </w:rPr>
    </w:lvl>
    <w:lvl w:ilvl="6" w:tplc="7638D042">
      <w:numFmt w:val="bullet"/>
      <w:lvlText w:val="•"/>
      <w:lvlJc w:val="left"/>
      <w:pPr>
        <w:ind w:left="7387" w:hanging="161"/>
      </w:pPr>
      <w:rPr>
        <w:rFonts w:hint="default"/>
        <w:lang w:val="ru-RU" w:eastAsia="en-US" w:bidi="ar-SA"/>
      </w:rPr>
    </w:lvl>
    <w:lvl w:ilvl="7" w:tplc="1018A8D6">
      <w:numFmt w:val="bullet"/>
      <w:lvlText w:val="•"/>
      <w:lvlJc w:val="left"/>
      <w:pPr>
        <w:ind w:left="8362" w:hanging="161"/>
      </w:pPr>
      <w:rPr>
        <w:rFonts w:hint="default"/>
        <w:lang w:val="ru-RU" w:eastAsia="en-US" w:bidi="ar-SA"/>
      </w:rPr>
    </w:lvl>
    <w:lvl w:ilvl="8" w:tplc="99EC7346">
      <w:numFmt w:val="bullet"/>
      <w:lvlText w:val="•"/>
      <w:lvlJc w:val="left"/>
      <w:pPr>
        <w:ind w:left="9337" w:hanging="161"/>
      </w:pPr>
      <w:rPr>
        <w:rFonts w:hint="default"/>
        <w:lang w:val="ru-RU" w:eastAsia="en-US" w:bidi="ar-SA"/>
      </w:rPr>
    </w:lvl>
  </w:abstractNum>
  <w:abstractNum w:abstractNumId="4">
    <w:nsid w:val="58D35F0A"/>
    <w:multiLevelType w:val="hybridMultilevel"/>
    <w:tmpl w:val="A978D4C8"/>
    <w:lvl w:ilvl="0" w:tplc="C06680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6D2B00"/>
    <w:multiLevelType w:val="hybridMultilevel"/>
    <w:tmpl w:val="D5EAF40E"/>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6">
    <w:nsid w:val="734901C4"/>
    <w:multiLevelType w:val="hybridMultilevel"/>
    <w:tmpl w:val="BFDC1712"/>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42"/>
    <w:rsid w:val="00016AAB"/>
    <w:rsid w:val="0002532E"/>
    <w:rsid w:val="000411D4"/>
    <w:rsid w:val="00043D37"/>
    <w:rsid w:val="00053B14"/>
    <w:rsid w:val="00062E16"/>
    <w:rsid w:val="00080D34"/>
    <w:rsid w:val="00085DC9"/>
    <w:rsid w:val="000B0AE6"/>
    <w:rsid w:val="000B5856"/>
    <w:rsid w:val="000C763E"/>
    <w:rsid w:val="000D2A11"/>
    <w:rsid w:val="000D3013"/>
    <w:rsid w:val="000D3C54"/>
    <w:rsid w:val="000D7076"/>
    <w:rsid w:val="000E4DC2"/>
    <w:rsid w:val="001150EB"/>
    <w:rsid w:val="001175D7"/>
    <w:rsid w:val="00120C83"/>
    <w:rsid w:val="001217CF"/>
    <w:rsid w:val="00127724"/>
    <w:rsid w:val="00131E70"/>
    <w:rsid w:val="00142D7A"/>
    <w:rsid w:val="00150796"/>
    <w:rsid w:val="00153D00"/>
    <w:rsid w:val="00156F09"/>
    <w:rsid w:val="00157C29"/>
    <w:rsid w:val="00162861"/>
    <w:rsid w:val="001940D8"/>
    <w:rsid w:val="001958A0"/>
    <w:rsid w:val="00203834"/>
    <w:rsid w:val="00206D03"/>
    <w:rsid w:val="00216C1D"/>
    <w:rsid w:val="00231845"/>
    <w:rsid w:val="00236029"/>
    <w:rsid w:val="0024619C"/>
    <w:rsid w:val="0025353A"/>
    <w:rsid w:val="002736D1"/>
    <w:rsid w:val="002774AE"/>
    <w:rsid w:val="002A6051"/>
    <w:rsid w:val="002E52FC"/>
    <w:rsid w:val="002E7295"/>
    <w:rsid w:val="00301A8E"/>
    <w:rsid w:val="003033F1"/>
    <w:rsid w:val="00306AEF"/>
    <w:rsid w:val="00334227"/>
    <w:rsid w:val="003372F9"/>
    <w:rsid w:val="00341101"/>
    <w:rsid w:val="00347BD6"/>
    <w:rsid w:val="0036306E"/>
    <w:rsid w:val="00363F7A"/>
    <w:rsid w:val="00365033"/>
    <w:rsid w:val="00366515"/>
    <w:rsid w:val="003740B9"/>
    <w:rsid w:val="00375448"/>
    <w:rsid w:val="003A0AF5"/>
    <w:rsid w:val="003C0693"/>
    <w:rsid w:val="003C37BA"/>
    <w:rsid w:val="003C581C"/>
    <w:rsid w:val="003D21B6"/>
    <w:rsid w:val="003E1FE1"/>
    <w:rsid w:val="003E4EA5"/>
    <w:rsid w:val="003E73FC"/>
    <w:rsid w:val="003F60EE"/>
    <w:rsid w:val="00414BDD"/>
    <w:rsid w:val="00414E26"/>
    <w:rsid w:val="00421420"/>
    <w:rsid w:val="004546A5"/>
    <w:rsid w:val="00462E58"/>
    <w:rsid w:val="00475D60"/>
    <w:rsid w:val="004830E5"/>
    <w:rsid w:val="004942FE"/>
    <w:rsid w:val="004A5DE0"/>
    <w:rsid w:val="004A69FB"/>
    <w:rsid w:val="004D04C1"/>
    <w:rsid w:val="004E6DD4"/>
    <w:rsid w:val="004F06F5"/>
    <w:rsid w:val="004F2625"/>
    <w:rsid w:val="00501E72"/>
    <w:rsid w:val="00505D74"/>
    <w:rsid w:val="005220AB"/>
    <w:rsid w:val="00527F0C"/>
    <w:rsid w:val="00543467"/>
    <w:rsid w:val="005452F1"/>
    <w:rsid w:val="00547007"/>
    <w:rsid w:val="00556BA8"/>
    <w:rsid w:val="00566D28"/>
    <w:rsid w:val="00582764"/>
    <w:rsid w:val="00584191"/>
    <w:rsid w:val="005876BC"/>
    <w:rsid w:val="0059267B"/>
    <w:rsid w:val="00595880"/>
    <w:rsid w:val="005A3DBE"/>
    <w:rsid w:val="005D5253"/>
    <w:rsid w:val="005D5760"/>
    <w:rsid w:val="005E5A9F"/>
    <w:rsid w:val="005E67C5"/>
    <w:rsid w:val="005E7C70"/>
    <w:rsid w:val="005F14F2"/>
    <w:rsid w:val="00601394"/>
    <w:rsid w:val="00615B3F"/>
    <w:rsid w:val="00622B7C"/>
    <w:rsid w:val="00623E07"/>
    <w:rsid w:val="00631AB0"/>
    <w:rsid w:val="00632E40"/>
    <w:rsid w:val="006504C2"/>
    <w:rsid w:val="006715B1"/>
    <w:rsid w:val="006846A2"/>
    <w:rsid w:val="006A38C3"/>
    <w:rsid w:val="006A615B"/>
    <w:rsid w:val="006C0B4C"/>
    <w:rsid w:val="006C23F8"/>
    <w:rsid w:val="006E5FC8"/>
    <w:rsid w:val="006F0705"/>
    <w:rsid w:val="00703262"/>
    <w:rsid w:val="00707336"/>
    <w:rsid w:val="0071684E"/>
    <w:rsid w:val="007334D1"/>
    <w:rsid w:val="007356A8"/>
    <w:rsid w:val="0073646B"/>
    <w:rsid w:val="00777D36"/>
    <w:rsid w:val="007835F2"/>
    <w:rsid w:val="007845CE"/>
    <w:rsid w:val="00793194"/>
    <w:rsid w:val="007A0A56"/>
    <w:rsid w:val="007A29E9"/>
    <w:rsid w:val="007E3D36"/>
    <w:rsid w:val="007E4965"/>
    <w:rsid w:val="00813E64"/>
    <w:rsid w:val="00851B58"/>
    <w:rsid w:val="0089584B"/>
    <w:rsid w:val="00895CA0"/>
    <w:rsid w:val="008A6BA9"/>
    <w:rsid w:val="008A7439"/>
    <w:rsid w:val="008A7C65"/>
    <w:rsid w:val="008B5BAD"/>
    <w:rsid w:val="008B7AFA"/>
    <w:rsid w:val="008C40C3"/>
    <w:rsid w:val="008C6C4A"/>
    <w:rsid w:val="008D0C7C"/>
    <w:rsid w:val="008E2B7A"/>
    <w:rsid w:val="008F7D24"/>
    <w:rsid w:val="00907CB4"/>
    <w:rsid w:val="0092055A"/>
    <w:rsid w:val="00920B29"/>
    <w:rsid w:val="00921E4E"/>
    <w:rsid w:val="009228EF"/>
    <w:rsid w:val="00930412"/>
    <w:rsid w:val="009439DB"/>
    <w:rsid w:val="00945B7B"/>
    <w:rsid w:val="00955F9A"/>
    <w:rsid w:val="00983B27"/>
    <w:rsid w:val="00986EA0"/>
    <w:rsid w:val="009A0E51"/>
    <w:rsid w:val="009A5465"/>
    <w:rsid w:val="009B32B7"/>
    <w:rsid w:val="009B4309"/>
    <w:rsid w:val="009E3B98"/>
    <w:rsid w:val="009E3ECE"/>
    <w:rsid w:val="009E50E8"/>
    <w:rsid w:val="009F2D91"/>
    <w:rsid w:val="00A27F0A"/>
    <w:rsid w:val="00A57AF9"/>
    <w:rsid w:val="00A70A3C"/>
    <w:rsid w:val="00A73AC4"/>
    <w:rsid w:val="00A9776D"/>
    <w:rsid w:val="00AA782C"/>
    <w:rsid w:val="00AB0511"/>
    <w:rsid w:val="00AB06D0"/>
    <w:rsid w:val="00AB0FD3"/>
    <w:rsid w:val="00AB435E"/>
    <w:rsid w:val="00AD4B60"/>
    <w:rsid w:val="00AE2764"/>
    <w:rsid w:val="00AE45F7"/>
    <w:rsid w:val="00AE4E0A"/>
    <w:rsid w:val="00AF244E"/>
    <w:rsid w:val="00AF5E31"/>
    <w:rsid w:val="00B03AE3"/>
    <w:rsid w:val="00B0596F"/>
    <w:rsid w:val="00B1034D"/>
    <w:rsid w:val="00B128DE"/>
    <w:rsid w:val="00B403F8"/>
    <w:rsid w:val="00B62116"/>
    <w:rsid w:val="00B67DC8"/>
    <w:rsid w:val="00B84C30"/>
    <w:rsid w:val="00B91392"/>
    <w:rsid w:val="00B94E65"/>
    <w:rsid w:val="00BB4986"/>
    <w:rsid w:val="00BC70C0"/>
    <w:rsid w:val="00BD15F4"/>
    <w:rsid w:val="00BD1602"/>
    <w:rsid w:val="00BE376B"/>
    <w:rsid w:val="00BF6C7A"/>
    <w:rsid w:val="00C00F0D"/>
    <w:rsid w:val="00C1024F"/>
    <w:rsid w:val="00C22E71"/>
    <w:rsid w:val="00C33C42"/>
    <w:rsid w:val="00C35C8B"/>
    <w:rsid w:val="00C4274D"/>
    <w:rsid w:val="00C46ABB"/>
    <w:rsid w:val="00C57C2D"/>
    <w:rsid w:val="00C57DAB"/>
    <w:rsid w:val="00C74494"/>
    <w:rsid w:val="00CA768B"/>
    <w:rsid w:val="00CC17B4"/>
    <w:rsid w:val="00CD1AD4"/>
    <w:rsid w:val="00CD65ED"/>
    <w:rsid w:val="00CE30ED"/>
    <w:rsid w:val="00D05E6E"/>
    <w:rsid w:val="00D07ACD"/>
    <w:rsid w:val="00D1577D"/>
    <w:rsid w:val="00D2135A"/>
    <w:rsid w:val="00D2243A"/>
    <w:rsid w:val="00D32C24"/>
    <w:rsid w:val="00D346A0"/>
    <w:rsid w:val="00D375B8"/>
    <w:rsid w:val="00D429CE"/>
    <w:rsid w:val="00D4377A"/>
    <w:rsid w:val="00D43A43"/>
    <w:rsid w:val="00D540D3"/>
    <w:rsid w:val="00D637AE"/>
    <w:rsid w:val="00D6654B"/>
    <w:rsid w:val="00D76908"/>
    <w:rsid w:val="00D86502"/>
    <w:rsid w:val="00DA5BC1"/>
    <w:rsid w:val="00DB324B"/>
    <w:rsid w:val="00DD206D"/>
    <w:rsid w:val="00E139B8"/>
    <w:rsid w:val="00E27A52"/>
    <w:rsid w:val="00E3457D"/>
    <w:rsid w:val="00E508E7"/>
    <w:rsid w:val="00E51E65"/>
    <w:rsid w:val="00E52BF3"/>
    <w:rsid w:val="00E72C25"/>
    <w:rsid w:val="00E7578E"/>
    <w:rsid w:val="00E93A6C"/>
    <w:rsid w:val="00EA3B9E"/>
    <w:rsid w:val="00EA3CF7"/>
    <w:rsid w:val="00EA539A"/>
    <w:rsid w:val="00EA562C"/>
    <w:rsid w:val="00EB4342"/>
    <w:rsid w:val="00EC2843"/>
    <w:rsid w:val="00EC6713"/>
    <w:rsid w:val="00ED0017"/>
    <w:rsid w:val="00ED50C6"/>
    <w:rsid w:val="00F01D6F"/>
    <w:rsid w:val="00F10992"/>
    <w:rsid w:val="00F16AEE"/>
    <w:rsid w:val="00F223FD"/>
    <w:rsid w:val="00F30559"/>
    <w:rsid w:val="00F40B98"/>
    <w:rsid w:val="00F44B53"/>
    <w:rsid w:val="00F51DF6"/>
    <w:rsid w:val="00F71824"/>
    <w:rsid w:val="00F72726"/>
    <w:rsid w:val="00F75D4E"/>
    <w:rsid w:val="00F773C7"/>
    <w:rsid w:val="00F827D6"/>
    <w:rsid w:val="00F92475"/>
    <w:rsid w:val="00FA356C"/>
    <w:rsid w:val="00FA46F9"/>
    <w:rsid w:val="00FA4DD7"/>
    <w:rsid w:val="00FC5A5C"/>
    <w:rsid w:val="00FF06EF"/>
    <w:rsid w:val="00FF5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10D62"/>
  <w15:chartTrackingRefBased/>
  <w15:docId w15:val="{B0F0A1F3-B7FD-40EF-B66D-9C7E6862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342"/>
  </w:style>
  <w:style w:type="paragraph" w:styleId="1">
    <w:name w:val="heading 1"/>
    <w:basedOn w:val="a"/>
    <w:next w:val="a"/>
    <w:link w:val="10"/>
    <w:uiPriority w:val="9"/>
    <w:qFormat/>
    <w:rsid w:val="00AF5E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4342"/>
    <w:pPr>
      <w:autoSpaceDE w:val="0"/>
      <w:autoSpaceDN w:val="0"/>
      <w:adjustRightInd w:val="0"/>
      <w:spacing w:after="0" w:line="240" w:lineRule="auto"/>
    </w:pPr>
    <w:rPr>
      <w:rFonts w:ascii="Calibri" w:hAnsi="Calibri" w:cs="Calibri"/>
      <w:color w:val="000000"/>
      <w:sz w:val="24"/>
      <w:szCs w:val="24"/>
    </w:rPr>
  </w:style>
  <w:style w:type="table" w:styleId="-31">
    <w:name w:val="List Table 3 Accent 1"/>
    <w:basedOn w:val="a1"/>
    <w:uiPriority w:val="48"/>
    <w:rsid w:val="00EB4342"/>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3">
    <w:name w:val="header"/>
    <w:basedOn w:val="a"/>
    <w:link w:val="a4"/>
    <w:uiPriority w:val="99"/>
    <w:unhideWhenUsed/>
    <w:rsid w:val="00EB43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4342"/>
  </w:style>
  <w:style w:type="paragraph" w:styleId="a5">
    <w:name w:val="footer"/>
    <w:basedOn w:val="a"/>
    <w:link w:val="a6"/>
    <w:uiPriority w:val="99"/>
    <w:unhideWhenUsed/>
    <w:rsid w:val="00EB43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4342"/>
  </w:style>
  <w:style w:type="character" w:customStyle="1" w:styleId="10">
    <w:name w:val="Заголовок 1 Знак"/>
    <w:basedOn w:val="a0"/>
    <w:link w:val="1"/>
    <w:uiPriority w:val="9"/>
    <w:rsid w:val="00AF5E31"/>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AF5E31"/>
    <w:pPr>
      <w:outlineLvl w:val="9"/>
    </w:pPr>
    <w:rPr>
      <w:lang w:eastAsia="ru-RU"/>
    </w:rPr>
  </w:style>
  <w:style w:type="table" w:styleId="-35">
    <w:name w:val="Grid Table 3 Accent 5"/>
    <w:basedOn w:val="a1"/>
    <w:uiPriority w:val="48"/>
    <w:rsid w:val="00AF5E31"/>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5">
    <w:name w:val="Grid Table 7 Colorful Accent 5"/>
    <w:basedOn w:val="a1"/>
    <w:uiPriority w:val="52"/>
    <w:rsid w:val="00AF5E31"/>
    <w:pPr>
      <w:spacing w:after="0" w:line="240" w:lineRule="auto"/>
    </w:pPr>
    <w:rPr>
      <w:color w:val="2F5496" w:themeColor="accent5" w:themeShade="BF"/>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08" w:type="dxa"/>
        <w:bottom w:w="0" w:type="dxa"/>
        <w:right w:w="108" w:type="dxa"/>
      </w:tblCellMar>
    </w:tblPr>
    <w:tcPr>
      <w:shd w:val="clear" w:color="auto" w:fill="FFFFFF" w:themeFill="background1"/>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61">
    <w:name w:val="Grid Table 6 Colorful Accent 1"/>
    <w:basedOn w:val="a1"/>
    <w:uiPriority w:val="51"/>
    <w:rsid w:val="00584191"/>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5">
    <w:name w:val="Grid Table 6 Colorful Accent 5"/>
    <w:basedOn w:val="a1"/>
    <w:uiPriority w:val="51"/>
    <w:rsid w:val="00584191"/>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71">
    <w:name w:val="List Table 7 Colorful Accent 1"/>
    <w:basedOn w:val="a1"/>
    <w:uiPriority w:val="52"/>
    <w:rsid w:val="00584191"/>
    <w:pPr>
      <w:spacing w:after="0" w:line="240" w:lineRule="auto"/>
    </w:pPr>
    <w:rPr>
      <w:color w:val="2E74B5"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Стиль1"/>
    <w:basedOn w:val="a1"/>
    <w:uiPriority w:val="99"/>
    <w:rsid w:val="00584191"/>
    <w:pPr>
      <w:spacing w:after="0" w:line="240" w:lineRule="auto"/>
    </w:pPr>
    <w:tblPr>
      <w:tblStyleRow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08" w:type="dxa"/>
        <w:bottom w:w="0" w:type="dxa"/>
        <w:right w:w="108" w:type="dxa"/>
      </w:tblCellMar>
    </w:tblPr>
    <w:tblStylePr w:type="band2Horz">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BDD6EE" w:themeFill="accent1" w:themeFillTint="66"/>
      </w:tcPr>
    </w:tblStylePr>
  </w:style>
  <w:style w:type="paragraph" w:styleId="a8">
    <w:name w:val="footnote text"/>
    <w:basedOn w:val="a"/>
    <w:link w:val="a9"/>
    <w:uiPriority w:val="99"/>
    <w:semiHidden/>
    <w:unhideWhenUsed/>
    <w:rsid w:val="00B84C30"/>
    <w:pPr>
      <w:spacing w:after="0" w:line="240" w:lineRule="auto"/>
    </w:pPr>
    <w:rPr>
      <w:sz w:val="20"/>
      <w:szCs w:val="20"/>
    </w:rPr>
  </w:style>
  <w:style w:type="character" w:customStyle="1" w:styleId="a9">
    <w:name w:val="Текст сноски Знак"/>
    <w:basedOn w:val="a0"/>
    <w:link w:val="a8"/>
    <w:uiPriority w:val="99"/>
    <w:semiHidden/>
    <w:rsid w:val="00B84C30"/>
    <w:rPr>
      <w:sz w:val="20"/>
      <w:szCs w:val="20"/>
    </w:rPr>
  </w:style>
  <w:style w:type="character" w:styleId="aa">
    <w:name w:val="footnote reference"/>
    <w:basedOn w:val="a0"/>
    <w:uiPriority w:val="99"/>
    <w:semiHidden/>
    <w:unhideWhenUsed/>
    <w:rsid w:val="00B84C30"/>
    <w:rPr>
      <w:vertAlign w:val="superscript"/>
    </w:rPr>
  </w:style>
  <w:style w:type="paragraph" w:styleId="ab">
    <w:name w:val="List Paragraph"/>
    <w:basedOn w:val="a"/>
    <w:uiPriority w:val="1"/>
    <w:qFormat/>
    <w:rsid w:val="00D05E6E"/>
    <w:pPr>
      <w:ind w:left="720"/>
      <w:contextualSpacing/>
    </w:pPr>
  </w:style>
  <w:style w:type="character" w:styleId="ac">
    <w:name w:val="Hyperlink"/>
    <w:basedOn w:val="a0"/>
    <w:uiPriority w:val="99"/>
    <w:unhideWhenUsed/>
    <w:rsid w:val="00475D60"/>
    <w:rPr>
      <w:color w:val="0563C1" w:themeColor="hyperlink"/>
      <w:u w:val="single"/>
    </w:rPr>
  </w:style>
  <w:style w:type="paragraph" w:styleId="12">
    <w:name w:val="toc 1"/>
    <w:basedOn w:val="a"/>
    <w:next w:val="a"/>
    <w:autoRedefine/>
    <w:uiPriority w:val="39"/>
    <w:unhideWhenUsed/>
    <w:rsid w:val="00895CA0"/>
    <w:pPr>
      <w:tabs>
        <w:tab w:val="right" w:leader="dot" w:pos="10456"/>
      </w:tabs>
      <w:spacing w:afterLines="120" w:after="288" w:line="240" w:lineRule="auto"/>
    </w:pPr>
    <w:rPr>
      <w:rFonts w:cs="Calibri (Основной текст)"/>
      <w:b/>
      <w:bCs/>
    </w:rPr>
  </w:style>
  <w:style w:type="paragraph" w:styleId="2">
    <w:name w:val="toc 2"/>
    <w:basedOn w:val="a"/>
    <w:next w:val="a"/>
    <w:autoRedefine/>
    <w:uiPriority w:val="39"/>
    <w:semiHidden/>
    <w:unhideWhenUsed/>
    <w:rsid w:val="00F71824"/>
    <w:pPr>
      <w:spacing w:after="0"/>
    </w:pPr>
    <w:rPr>
      <w:rFonts w:cstheme="minorHAnsi"/>
      <w:b/>
      <w:bCs/>
      <w:smallCaps/>
    </w:rPr>
  </w:style>
  <w:style w:type="paragraph" w:styleId="3">
    <w:name w:val="toc 3"/>
    <w:basedOn w:val="a"/>
    <w:next w:val="a"/>
    <w:autoRedefine/>
    <w:uiPriority w:val="39"/>
    <w:semiHidden/>
    <w:unhideWhenUsed/>
    <w:rsid w:val="00F71824"/>
    <w:pPr>
      <w:spacing w:after="0"/>
    </w:pPr>
    <w:rPr>
      <w:rFonts w:cstheme="minorHAnsi"/>
      <w:smallCaps/>
    </w:rPr>
  </w:style>
  <w:style w:type="paragraph" w:styleId="4">
    <w:name w:val="toc 4"/>
    <w:basedOn w:val="a"/>
    <w:next w:val="a"/>
    <w:autoRedefine/>
    <w:uiPriority w:val="39"/>
    <w:semiHidden/>
    <w:unhideWhenUsed/>
    <w:rsid w:val="00F71824"/>
    <w:pPr>
      <w:spacing w:after="0"/>
    </w:pPr>
    <w:rPr>
      <w:rFonts w:cstheme="minorHAnsi"/>
    </w:rPr>
  </w:style>
  <w:style w:type="paragraph" w:styleId="5">
    <w:name w:val="toc 5"/>
    <w:basedOn w:val="a"/>
    <w:next w:val="a"/>
    <w:autoRedefine/>
    <w:uiPriority w:val="39"/>
    <w:semiHidden/>
    <w:unhideWhenUsed/>
    <w:rsid w:val="00F71824"/>
    <w:pPr>
      <w:spacing w:after="0"/>
    </w:pPr>
    <w:rPr>
      <w:rFonts w:cstheme="minorHAnsi"/>
    </w:rPr>
  </w:style>
  <w:style w:type="paragraph" w:styleId="6">
    <w:name w:val="toc 6"/>
    <w:basedOn w:val="a"/>
    <w:next w:val="a"/>
    <w:autoRedefine/>
    <w:uiPriority w:val="39"/>
    <w:semiHidden/>
    <w:unhideWhenUsed/>
    <w:rsid w:val="00F71824"/>
    <w:pPr>
      <w:spacing w:after="0"/>
    </w:pPr>
    <w:rPr>
      <w:rFonts w:cstheme="minorHAnsi"/>
    </w:rPr>
  </w:style>
  <w:style w:type="paragraph" w:styleId="7">
    <w:name w:val="toc 7"/>
    <w:basedOn w:val="a"/>
    <w:next w:val="a"/>
    <w:autoRedefine/>
    <w:uiPriority w:val="39"/>
    <w:semiHidden/>
    <w:unhideWhenUsed/>
    <w:rsid w:val="00F71824"/>
    <w:pPr>
      <w:spacing w:after="0"/>
    </w:pPr>
    <w:rPr>
      <w:rFonts w:cstheme="minorHAnsi"/>
    </w:rPr>
  </w:style>
  <w:style w:type="paragraph" w:styleId="8">
    <w:name w:val="toc 8"/>
    <w:basedOn w:val="a"/>
    <w:next w:val="a"/>
    <w:autoRedefine/>
    <w:uiPriority w:val="39"/>
    <w:semiHidden/>
    <w:unhideWhenUsed/>
    <w:rsid w:val="00F71824"/>
    <w:pPr>
      <w:spacing w:after="0"/>
    </w:pPr>
    <w:rPr>
      <w:rFonts w:cstheme="minorHAnsi"/>
    </w:rPr>
  </w:style>
  <w:style w:type="paragraph" w:styleId="9">
    <w:name w:val="toc 9"/>
    <w:basedOn w:val="a"/>
    <w:next w:val="a"/>
    <w:autoRedefine/>
    <w:uiPriority w:val="39"/>
    <w:semiHidden/>
    <w:unhideWhenUsed/>
    <w:rsid w:val="00F71824"/>
    <w:pPr>
      <w:spacing w:after="0"/>
    </w:pPr>
    <w:rPr>
      <w:rFonts w:cstheme="minorHAnsi"/>
    </w:rPr>
  </w:style>
  <w:style w:type="paragraph" w:styleId="ad">
    <w:name w:val="Balloon Text"/>
    <w:basedOn w:val="a"/>
    <w:link w:val="ae"/>
    <w:uiPriority w:val="99"/>
    <w:semiHidden/>
    <w:unhideWhenUsed/>
    <w:rsid w:val="000D301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3013"/>
    <w:rPr>
      <w:rFonts w:ascii="Segoe UI" w:hAnsi="Segoe UI" w:cs="Segoe UI"/>
      <w:sz w:val="18"/>
      <w:szCs w:val="18"/>
    </w:rPr>
  </w:style>
  <w:style w:type="character" w:styleId="af">
    <w:name w:val="annotation reference"/>
    <w:basedOn w:val="a0"/>
    <w:uiPriority w:val="99"/>
    <w:semiHidden/>
    <w:unhideWhenUsed/>
    <w:rsid w:val="006846A2"/>
    <w:rPr>
      <w:sz w:val="16"/>
      <w:szCs w:val="16"/>
    </w:rPr>
  </w:style>
  <w:style w:type="paragraph" w:styleId="af0">
    <w:name w:val="annotation text"/>
    <w:basedOn w:val="a"/>
    <w:link w:val="af1"/>
    <w:uiPriority w:val="99"/>
    <w:semiHidden/>
    <w:unhideWhenUsed/>
    <w:rsid w:val="006846A2"/>
    <w:pPr>
      <w:spacing w:line="240" w:lineRule="auto"/>
    </w:pPr>
    <w:rPr>
      <w:sz w:val="20"/>
      <w:szCs w:val="20"/>
    </w:rPr>
  </w:style>
  <w:style w:type="character" w:customStyle="1" w:styleId="af1">
    <w:name w:val="Текст примечания Знак"/>
    <w:basedOn w:val="a0"/>
    <w:link w:val="af0"/>
    <w:uiPriority w:val="99"/>
    <w:semiHidden/>
    <w:rsid w:val="006846A2"/>
    <w:rPr>
      <w:sz w:val="20"/>
      <w:szCs w:val="20"/>
    </w:rPr>
  </w:style>
  <w:style w:type="paragraph" w:styleId="af2">
    <w:name w:val="annotation subject"/>
    <w:basedOn w:val="af0"/>
    <w:next w:val="af0"/>
    <w:link w:val="af3"/>
    <w:uiPriority w:val="99"/>
    <w:semiHidden/>
    <w:unhideWhenUsed/>
    <w:rsid w:val="006846A2"/>
    <w:rPr>
      <w:b/>
      <w:bCs/>
    </w:rPr>
  </w:style>
  <w:style w:type="character" w:customStyle="1" w:styleId="af3">
    <w:name w:val="Тема примечания Знак"/>
    <w:basedOn w:val="af1"/>
    <w:link w:val="af2"/>
    <w:uiPriority w:val="99"/>
    <w:semiHidden/>
    <w:rsid w:val="006846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3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4d.nalog.gov.ru/emchd/create" TargetMode="External"/><Relationship Id="rId2" Type="http://schemas.openxmlformats.org/officeDocument/2006/relationships/hyperlink" Target="https://data.nalog.ru/html/sites/www.340fzreport.nalog.ru/doc/format_CRS_UVCRS_05_06_01_10042023.pdf" TargetMode="External"/><Relationship Id="rId1" Type="http://schemas.openxmlformats.org/officeDocument/2006/relationships/hyperlink" Target="https://data.nalog.ru/html/sites/www.340fzreport.nalog.ru/doc/rec_69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D00FC-0F86-4225-B255-2293F5D7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4779</Words>
  <Characters>27243</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Джелиева Людмила Таймуразовна</dc:creator>
  <cp:keywords/>
  <dc:description/>
  <cp:lastModifiedBy>Баткаева Оксана Рафаиловна</cp:lastModifiedBy>
  <cp:revision>3</cp:revision>
  <cp:lastPrinted>2025-06-17T15:24:00Z</cp:lastPrinted>
  <dcterms:created xsi:type="dcterms:W3CDTF">2026-04-21T10:24:00Z</dcterms:created>
  <dcterms:modified xsi:type="dcterms:W3CDTF">2026-04-21T10:26:00Z</dcterms:modified>
</cp:coreProperties>
</file>