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F" w:rsidRDefault="00F7024F">
      <w:pPr>
        <w:pStyle w:val="ConsPlusTitlePage"/>
      </w:pPr>
      <w:bookmarkStart w:id="0" w:name="_GoBack"/>
      <w:bookmarkEnd w:id="0"/>
    </w:p>
    <w:p w:rsidR="00F7024F" w:rsidRDefault="00F702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02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24F" w:rsidRDefault="00F7024F">
            <w:pPr>
              <w:pStyle w:val="ConsPlusNormal"/>
            </w:pPr>
            <w:r>
              <w:t>24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24F" w:rsidRDefault="00F7024F">
            <w:pPr>
              <w:pStyle w:val="ConsPlusNormal"/>
              <w:jc w:val="right"/>
            </w:pPr>
            <w:r>
              <w:t>N 11-ЗРТ</w:t>
            </w:r>
          </w:p>
        </w:tc>
      </w:tr>
    </w:tbl>
    <w:p w:rsidR="00F7024F" w:rsidRDefault="00F702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Title"/>
        <w:jc w:val="center"/>
      </w:pPr>
      <w:r>
        <w:t>ЗАКОН РЕСПУБЛИКИ ТАТАРСТАН</w:t>
      </w:r>
    </w:p>
    <w:p w:rsidR="00F7024F" w:rsidRDefault="00F7024F">
      <w:pPr>
        <w:pStyle w:val="ConsPlusTitle"/>
        <w:jc w:val="center"/>
      </w:pPr>
    </w:p>
    <w:p w:rsidR="00F7024F" w:rsidRDefault="00F7024F">
      <w:pPr>
        <w:pStyle w:val="ConsPlusTitle"/>
        <w:jc w:val="center"/>
      </w:pPr>
      <w:r>
        <w:t>О СТАВКАХ НАЛОГА НА ИГОРНЫЙ БИЗНЕС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jc w:val="right"/>
      </w:pPr>
      <w:proofErr w:type="gramStart"/>
      <w:r>
        <w:t>Принят</w:t>
      </w:r>
      <w:proofErr w:type="gramEnd"/>
    </w:p>
    <w:p w:rsidR="00F7024F" w:rsidRDefault="00F7024F">
      <w:pPr>
        <w:pStyle w:val="ConsPlusNormal"/>
        <w:jc w:val="right"/>
      </w:pPr>
      <w:r>
        <w:t>Государственным Советом</w:t>
      </w:r>
    </w:p>
    <w:p w:rsidR="00F7024F" w:rsidRDefault="00F7024F">
      <w:pPr>
        <w:pStyle w:val="ConsPlusNormal"/>
        <w:jc w:val="right"/>
      </w:pPr>
      <w:r>
        <w:t>Республики Татарстан</w:t>
      </w:r>
    </w:p>
    <w:p w:rsidR="00F7024F" w:rsidRDefault="00F7024F">
      <w:pPr>
        <w:pStyle w:val="ConsPlusNormal"/>
        <w:jc w:val="right"/>
      </w:pPr>
      <w:r>
        <w:t>16 февраля 2012 года</w:t>
      </w:r>
    </w:p>
    <w:p w:rsidR="00F7024F" w:rsidRDefault="00F702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2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4F" w:rsidRDefault="00F702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4F" w:rsidRDefault="00F702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24F" w:rsidRDefault="00F70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24F" w:rsidRDefault="00F702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РТ от 22.12.2017 N 95-ЗРТ)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4F" w:rsidRDefault="00F7024F">
            <w:pPr>
              <w:pStyle w:val="ConsPlusNormal"/>
            </w:pPr>
          </w:p>
        </w:tc>
      </w:tr>
    </w:tbl>
    <w:p w:rsidR="00F7024F" w:rsidRDefault="00F7024F">
      <w:pPr>
        <w:pStyle w:val="ConsPlusNormal"/>
        <w:jc w:val="both"/>
      </w:pPr>
    </w:p>
    <w:p w:rsidR="00F7024F" w:rsidRDefault="00F7024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устанавливаются ставки налога на игорный бизнес для организаций, осуществляющих предпринимательскую деятельность в сфере игорного бизнеса на территории Республики Татарстан.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Title"/>
        <w:ind w:firstLine="540"/>
        <w:jc w:val="both"/>
        <w:outlineLvl w:val="0"/>
      </w:pPr>
      <w:r>
        <w:t>Статья 2. Ставки налога на игорный бизнес</w:t>
      </w:r>
    </w:p>
    <w:p w:rsidR="00F7024F" w:rsidRDefault="00F7024F">
      <w:pPr>
        <w:pStyle w:val="ConsPlusNormal"/>
        <w:ind w:firstLine="540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РТ от 22.12.2017 N 95-ЗРТ)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ind w:firstLine="540"/>
        <w:jc w:val="both"/>
      </w:pPr>
      <w:hyperlink r:id="rId8">
        <w:r>
          <w:rPr>
            <w:color w:val="0000FF"/>
          </w:rPr>
          <w:t>Установить</w:t>
        </w:r>
      </w:hyperlink>
      <w:r>
        <w:t xml:space="preserve"> ставки налога на игорный бизнес в следующих размерах: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1) за один процессинговый центр букмекерской конторы - 250 000 рублей;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2) за один процессинговый центр тотализатора - 250 000 рублей;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3) за один процессинговый центр интерактивных ставок тотализатора - 3 000 000 рублей;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4) за один процессинговый центр интерактивных ставок букмекерской конторы - 3 000 000 рублей;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5) за один пункт приема ставок тотализатора - 14 000 рублей;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>6) за один пункт приема ставок букмекерской конторы - 14 000 рублей.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Title"/>
        <w:ind w:firstLine="540"/>
        <w:jc w:val="both"/>
        <w:outlineLvl w:val="0"/>
      </w:pPr>
      <w:r>
        <w:t xml:space="preserve">Статья 3.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Республики Татарстан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ind w:firstLine="540"/>
        <w:jc w:val="both"/>
      </w:pPr>
      <w:r>
        <w:t>Признать утратившими силу: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Закон</w:t>
        </w:r>
      </w:hyperlink>
      <w:r>
        <w:t xml:space="preserve"> Республики Татарстан от 23 сентября 2003 года N 40-ЗРТ "О ставках налога на игорный бизнес в Республике Татарстан" (Ведомости Государственного Совета Татарстана, 2003, N 9 (II часть));</w:t>
      </w:r>
    </w:p>
    <w:p w:rsidR="00F7024F" w:rsidRDefault="00F7024F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Закон</w:t>
        </w:r>
      </w:hyperlink>
      <w:r>
        <w:t xml:space="preserve"> Республики Татарстан от 23 ноября 2005 года N 112-ЗРТ "О внесении изменений в Закон Республики Татарстан "О ставках налога на игорный бизнес в Республике Татарстан" (Ведомости Государственного Совета Татарстана, 2005, N 11).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Title"/>
        <w:ind w:firstLine="540"/>
        <w:jc w:val="both"/>
        <w:outlineLvl w:val="0"/>
      </w:pPr>
      <w:r>
        <w:lastRenderedPageBreak/>
        <w:t>Статья 4. Вступление в силу настоящего Закона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игорный бизнес.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jc w:val="right"/>
      </w:pPr>
      <w:r>
        <w:t>Президент</w:t>
      </w:r>
    </w:p>
    <w:p w:rsidR="00F7024F" w:rsidRDefault="00F7024F">
      <w:pPr>
        <w:pStyle w:val="ConsPlusNormal"/>
        <w:jc w:val="right"/>
      </w:pPr>
      <w:r>
        <w:t>Республики Татарстан</w:t>
      </w:r>
    </w:p>
    <w:p w:rsidR="00F7024F" w:rsidRDefault="00F7024F">
      <w:pPr>
        <w:pStyle w:val="ConsPlusNormal"/>
        <w:jc w:val="right"/>
      </w:pPr>
      <w:r>
        <w:t>Р.Н.МИННИХАНОВ</w:t>
      </w:r>
    </w:p>
    <w:p w:rsidR="00F7024F" w:rsidRDefault="00F7024F">
      <w:pPr>
        <w:pStyle w:val="ConsPlusNormal"/>
      </w:pPr>
      <w:r>
        <w:t>Казань, Кремль</w:t>
      </w:r>
    </w:p>
    <w:p w:rsidR="00F7024F" w:rsidRDefault="00F7024F">
      <w:pPr>
        <w:pStyle w:val="ConsPlusNormal"/>
        <w:spacing w:before="220"/>
      </w:pPr>
      <w:r>
        <w:t>24 февраля 2012 года</w:t>
      </w:r>
    </w:p>
    <w:p w:rsidR="00F7024F" w:rsidRDefault="00F7024F">
      <w:pPr>
        <w:pStyle w:val="ConsPlusNormal"/>
        <w:spacing w:before="220"/>
      </w:pPr>
      <w:r>
        <w:t>N 11-ЗРТ</w:t>
      </w: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jc w:val="both"/>
      </w:pPr>
    </w:p>
    <w:p w:rsidR="00F7024F" w:rsidRDefault="00F702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E2F" w:rsidRDefault="00792E2F"/>
    <w:sectPr w:rsidR="00792E2F" w:rsidSect="00E4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4F"/>
    <w:rsid w:val="00792E2F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0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2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0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2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9E4EF335086DD527D4151CF93AD479906BF986636970E67370038B8BAF95A8006B254FDA5031BDED28032E11D830C296439C7AB6DF76AO6a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9E4EF335086DD527D5F5CD9FFF04C9E09E7946F379F5A3A61066FE7EAFF0FC046B401BEE50D1BD9D9D463A243DA5C6E2F34C0B671F76E71FB50C6OEa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9E4EF335086DD527D4151CF93AD479906BF986636970E67370038B8BAF95A8006B254FDA5031BDED28032E11D830C296439C7AB6DF76AO6a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99E4EF335086DD527D5F5CD9FFF04C9E09E7946F379F5A3A61066FE7EAFF0FC046B401BEE50D1BD9D9D463A243DA5C6E2F34C0B671F76E71FB50C6OEa2N" TargetMode="External"/><Relationship Id="rId10" Type="http://schemas.openxmlformats.org/officeDocument/2006/relationships/hyperlink" Target="consultantplus://offline/ref=AD99E4EF335086DD527D5F5CD9FFF04C9E09E7946A32955E33685B65EFB3F30DC749EB04B9F40D1BDAC7D465BB4A8E0FO2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9E4EF335086DD527D5F5CD9FFF04C9E09E7946A32955E32685B65EFB3F30DC749EB04B9F40D1BDAC7D465BB4A8E0FO2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Физалия Фаридовна</dc:creator>
  <cp:lastModifiedBy>Мухаметзянова Физалия Фаридовна</cp:lastModifiedBy>
  <cp:revision>1</cp:revision>
  <dcterms:created xsi:type="dcterms:W3CDTF">2023-06-13T13:26:00Z</dcterms:created>
  <dcterms:modified xsi:type="dcterms:W3CDTF">2023-06-13T13:27:00Z</dcterms:modified>
</cp:coreProperties>
</file>