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E0" w:rsidRPr="009D1CE0" w:rsidRDefault="009D1CE0" w:rsidP="009D1CE0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D1CE0">
        <w:rPr>
          <w:rFonts w:ascii="Times New Roman" w:hAnsi="Times New Roman" w:cs="Times New Roman"/>
          <w:bCs/>
          <w:sz w:val="26"/>
          <w:szCs w:val="26"/>
        </w:rPr>
        <w:t xml:space="preserve">Порядок отражения в расчете по страховым взносам за 6 месяцев 2020 года нулевого тарифа страховых взносов в отношении выплат в пользу физлиц, которые начислены за апрель, май, июнь включительно 2020 года, определенных Федеральным законом от </w:t>
      </w:r>
      <w:bookmarkStart w:id="0" w:name="_GoBack"/>
      <w:bookmarkEnd w:id="0"/>
      <w:r w:rsidRPr="009D1CE0">
        <w:rPr>
          <w:rFonts w:ascii="Times New Roman" w:hAnsi="Times New Roman" w:cs="Times New Roman"/>
          <w:bCs/>
          <w:sz w:val="26"/>
          <w:szCs w:val="26"/>
        </w:rPr>
        <w:t>08.06.2020 № 172-ФЗ».</w:t>
      </w:r>
    </w:p>
    <w:p w:rsidR="009D1CE0" w:rsidRPr="009D1CE0" w:rsidRDefault="009D1CE0" w:rsidP="009D1CE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1CE0">
        <w:rPr>
          <w:rFonts w:ascii="Times New Roman" w:hAnsi="Times New Roman" w:cs="Times New Roman"/>
          <w:bCs/>
          <w:sz w:val="26"/>
          <w:szCs w:val="26"/>
        </w:rPr>
        <w:t xml:space="preserve">Начальник отдела камеральных проверок № 4 Межрайонной ИФНС России № 8 по Удмуртской Республике </w:t>
      </w:r>
      <w:r w:rsidRPr="009D1CE0">
        <w:rPr>
          <w:rFonts w:ascii="Times New Roman" w:hAnsi="Times New Roman" w:cs="Times New Roman"/>
          <w:b/>
          <w:bCs/>
          <w:sz w:val="26"/>
          <w:szCs w:val="26"/>
        </w:rPr>
        <w:t xml:space="preserve">Наталья Валериевна </w:t>
      </w:r>
      <w:proofErr w:type="spellStart"/>
      <w:r w:rsidRPr="009D1CE0">
        <w:rPr>
          <w:rFonts w:ascii="Times New Roman" w:hAnsi="Times New Roman" w:cs="Times New Roman"/>
          <w:b/>
          <w:bCs/>
          <w:sz w:val="26"/>
          <w:szCs w:val="26"/>
        </w:rPr>
        <w:t>Путря</w:t>
      </w:r>
      <w:proofErr w:type="spellEnd"/>
      <w:r w:rsidRPr="009D1CE0">
        <w:rPr>
          <w:rFonts w:ascii="Times New Roman" w:hAnsi="Times New Roman" w:cs="Times New Roman"/>
          <w:bCs/>
          <w:sz w:val="26"/>
          <w:szCs w:val="26"/>
        </w:rPr>
        <w:t>.</w:t>
      </w:r>
    </w:p>
    <w:p w:rsidR="009D1CE0" w:rsidRPr="009D1CE0" w:rsidRDefault="009D1CE0" w:rsidP="00B446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4657" w:rsidRPr="00B44657" w:rsidRDefault="00B44657" w:rsidP="00B446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4657">
        <w:rPr>
          <w:rFonts w:ascii="Times New Roman" w:hAnsi="Times New Roman" w:cs="Times New Roman"/>
          <w:bCs/>
          <w:sz w:val="26"/>
          <w:szCs w:val="26"/>
        </w:rPr>
        <w:t xml:space="preserve">Я расскажу о Порядке отражения в Расчете по страховым взносам за 6 месяцев 2020 года </w:t>
      </w:r>
      <w:r w:rsidRPr="00B44657">
        <w:rPr>
          <w:rFonts w:ascii="Times New Roman" w:hAnsi="Times New Roman" w:cs="Times New Roman"/>
          <w:b/>
          <w:bCs/>
          <w:sz w:val="26"/>
          <w:szCs w:val="26"/>
        </w:rPr>
        <w:t>нулевого тарифа страховых взносов</w:t>
      </w:r>
      <w:r w:rsidRPr="00B44657">
        <w:rPr>
          <w:rFonts w:ascii="Times New Roman" w:hAnsi="Times New Roman" w:cs="Times New Roman"/>
          <w:bCs/>
          <w:sz w:val="26"/>
          <w:szCs w:val="26"/>
        </w:rPr>
        <w:t xml:space="preserve"> в отношении выплат в пользу физических лиц, которые начислены за апрель, май, июнь включительно 2020 года, определенных Федеральным законом от 08.06.2020 № 172-ФЗ</w:t>
      </w:r>
      <w:r w:rsidR="0086233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2</w:t>
      </w:r>
    </w:p>
    <w:p w:rsidR="00744151" w:rsidRPr="00001F16" w:rsidRDefault="002B6442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Пониженные тарифы страховых взносов </w:t>
      </w:r>
      <w:r w:rsidR="00A01107" w:rsidRPr="00001F16">
        <w:rPr>
          <w:rFonts w:ascii="Times New Roman" w:hAnsi="Times New Roman" w:cs="Times New Roman"/>
          <w:bCs/>
          <w:sz w:val="26"/>
          <w:szCs w:val="26"/>
        </w:rPr>
        <w:t xml:space="preserve">в размере 0 процентов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в отношении выплат в пользу физических лиц, которые начислены </w:t>
      </w:r>
      <w:r w:rsidRPr="004F66DC">
        <w:rPr>
          <w:rFonts w:ascii="Times New Roman" w:hAnsi="Times New Roman" w:cs="Times New Roman"/>
          <w:b/>
          <w:bCs/>
          <w:sz w:val="26"/>
          <w:szCs w:val="26"/>
        </w:rPr>
        <w:t>за апрель, май, июнь 2020г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., а так же категории </w:t>
      </w: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плательщиков страховых взносов, имеющих право на применение таких тарифов утверждены</w:t>
      </w:r>
      <w:proofErr w:type="gramEnd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4F1E">
        <w:rPr>
          <w:rFonts w:ascii="Times New Roman" w:hAnsi="Times New Roman" w:cs="Times New Roman"/>
          <w:bCs/>
          <w:sz w:val="26"/>
          <w:szCs w:val="26"/>
        </w:rPr>
        <w:t>Ф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едеральным законом </w:t>
      </w:r>
      <w:r w:rsidR="00074F1E">
        <w:rPr>
          <w:rFonts w:ascii="Times New Roman" w:hAnsi="Times New Roman" w:cs="Times New Roman"/>
          <w:bCs/>
          <w:sz w:val="26"/>
          <w:szCs w:val="26"/>
        </w:rPr>
        <w:t>Р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="00074F1E">
        <w:rPr>
          <w:rFonts w:ascii="Times New Roman" w:hAnsi="Times New Roman" w:cs="Times New Roman"/>
          <w:bCs/>
          <w:sz w:val="26"/>
          <w:szCs w:val="26"/>
        </w:rPr>
        <w:t>Ф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едерации от 08.06.2020г.  № 172-фз (далее  - </w:t>
      </w:r>
      <w:r w:rsidR="00074F1E">
        <w:rPr>
          <w:rFonts w:ascii="Times New Roman" w:hAnsi="Times New Roman" w:cs="Times New Roman"/>
          <w:bCs/>
          <w:sz w:val="26"/>
          <w:szCs w:val="26"/>
        </w:rPr>
        <w:t>Ф</w:t>
      </w:r>
      <w:r w:rsidRPr="00001F16">
        <w:rPr>
          <w:rFonts w:ascii="Times New Roman" w:hAnsi="Times New Roman" w:cs="Times New Roman"/>
          <w:bCs/>
          <w:sz w:val="26"/>
          <w:szCs w:val="26"/>
        </w:rPr>
        <w:t>едеральный закон № 172-фз).</w:t>
      </w:r>
    </w:p>
    <w:p w:rsidR="00A01107" w:rsidRPr="00001F16" w:rsidRDefault="00A01107" w:rsidP="00B44657">
      <w:pPr>
        <w:spacing w:after="1" w:line="240" w:lineRule="auto"/>
        <w:ind w:firstLine="540"/>
        <w:jc w:val="both"/>
        <w:rPr>
          <w:sz w:val="26"/>
          <w:szCs w:val="26"/>
        </w:rPr>
      </w:pPr>
      <w:proofErr w:type="gramStart"/>
      <w:r w:rsidRPr="00001F1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статьей 3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Федерального закона N 172-ФЗ для организаций и индивидуальных предпринимателей - плательщиков страховых взносов, производящих выплаты и иные вознаграждения физическим лицам, указанных в </w:t>
      </w:r>
      <w:hyperlink r:id="rId7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статье 2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Федерального закона N 172-ФЗ</w:t>
      </w:r>
      <w:r w:rsidR="00B44657">
        <w:rPr>
          <w:rFonts w:ascii="Times New Roman" w:hAnsi="Times New Roman" w:cs="Times New Roman"/>
          <w:sz w:val="26"/>
          <w:szCs w:val="26"/>
        </w:rPr>
        <w:t xml:space="preserve">, </w:t>
      </w:r>
      <w:r w:rsidRPr="00074F1E">
        <w:rPr>
          <w:rFonts w:ascii="Times New Roman" w:hAnsi="Times New Roman" w:cs="Times New Roman"/>
          <w:b/>
          <w:sz w:val="26"/>
          <w:szCs w:val="26"/>
        </w:rPr>
        <w:t>индивидуальных предпринимателей</w:t>
      </w:r>
      <w:r w:rsidRPr="00001F16">
        <w:rPr>
          <w:rFonts w:ascii="Times New Roman" w:hAnsi="Times New Roman" w:cs="Times New Roman"/>
          <w:sz w:val="26"/>
          <w:szCs w:val="26"/>
        </w:rPr>
        <w:t xml:space="preserve"> и включенных в соответствии с Федеральным </w:t>
      </w:r>
      <w:hyperlink r:id="rId8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от 24 июля 2007 года N 209-ФЗ "О развитии малого и среднего предпринимательства в Российской Федерации" на основании налоговой</w:t>
      </w:r>
      <w:proofErr w:type="gramEnd"/>
      <w:r w:rsidRPr="00001F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1F16">
        <w:rPr>
          <w:rFonts w:ascii="Times New Roman" w:hAnsi="Times New Roman" w:cs="Times New Roman"/>
          <w:sz w:val="26"/>
          <w:szCs w:val="26"/>
        </w:rPr>
        <w:t xml:space="preserve">отчетности за 2018 год в единый реестр субъектов малого и среднего предпринимательства </w:t>
      </w:r>
      <w:r w:rsidRPr="00074F1E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Pr="00001F16">
        <w:rPr>
          <w:rFonts w:ascii="Times New Roman" w:hAnsi="Times New Roman" w:cs="Times New Roman"/>
          <w:sz w:val="26"/>
          <w:szCs w:val="26"/>
        </w:rPr>
        <w:t xml:space="preserve">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01F1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01F16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Pr="00074F1E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001F16">
        <w:rPr>
          <w:rFonts w:ascii="Times New Roman" w:hAnsi="Times New Roman" w:cs="Times New Roman"/>
          <w:sz w:val="26"/>
          <w:szCs w:val="26"/>
        </w:rPr>
        <w:t xml:space="preserve"> которых утверждается Правительством Российской Федерации</w:t>
      </w:r>
      <w:r w:rsidR="00074F1E">
        <w:rPr>
          <w:rFonts w:ascii="Times New Roman" w:hAnsi="Times New Roman" w:cs="Times New Roman"/>
          <w:sz w:val="26"/>
          <w:szCs w:val="26"/>
        </w:rPr>
        <w:t xml:space="preserve"> </w:t>
      </w:r>
      <w:r w:rsidRPr="00001F16">
        <w:rPr>
          <w:rFonts w:ascii="Times New Roman" w:hAnsi="Times New Roman" w:cs="Times New Roman"/>
          <w:sz w:val="26"/>
          <w:szCs w:val="26"/>
        </w:rPr>
        <w:t>в отношении выплат и иных вознаграждений в пользу физических лиц, начисленных за апрель, май, июнь 2020 года, в пределах установленной предельной</w:t>
      </w:r>
      <w:proofErr w:type="gramEnd"/>
      <w:r w:rsidRPr="00001F16">
        <w:rPr>
          <w:rFonts w:ascii="Times New Roman" w:hAnsi="Times New Roman" w:cs="Times New Roman"/>
          <w:sz w:val="26"/>
          <w:szCs w:val="26"/>
        </w:rPr>
        <w:t xml:space="preserve">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</w:p>
    <w:p w:rsidR="00A01107" w:rsidRPr="00001F16" w:rsidRDefault="00A01107" w:rsidP="00001F16">
      <w:pPr>
        <w:spacing w:before="240" w:after="1" w:line="240" w:lineRule="auto"/>
        <w:ind w:firstLine="540"/>
        <w:jc w:val="both"/>
        <w:rPr>
          <w:sz w:val="26"/>
          <w:szCs w:val="26"/>
        </w:rPr>
      </w:pPr>
      <w:r w:rsidRPr="00001F16">
        <w:rPr>
          <w:rFonts w:ascii="Times New Roman" w:hAnsi="Times New Roman" w:cs="Times New Roman"/>
          <w:sz w:val="26"/>
          <w:szCs w:val="26"/>
        </w:rPr>
        <w:t>1) на обязательное пенсионное страхование - в размере 0,0 процента;</w:t>
      </w:r>
    </w:p>
    <w:p w:rsidR="00A01107" w:rsidRPr="00001F16" w:rsidRDefault="00A01107" w:rsidP="00001F16">
      <w:pPr>
        <w:spacing w:before="240" w:after="1" w:line="240" w:lineRule="auto"/>
        <w:ind w:firstLine="540"/>
        <w:jc w:val="both"/>
        <w:rPr>
          <w:sz w:val="26"/>
          <w:szCs w:val="26"/>
        </w:rPr>
      </w:pPr>
      <w:r w:rsidRPr="00001F16">
        <w:rPr>
          <w:rFonts w:ascii="Times New Roman" w:hAnsi="Times New Roman" w:cs="Times New Roman"/>
          <w:sz w:val="26"/>
          <w:szCs w:val="26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A01107" w:rsidRPr="00001F16" w:rsidRDefault="00A01107" w:rsidP="00001F16">
      <w:pPr>
        <w:spacing w:before="240"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F16">
        <w:rPr>
          <w:rFonts w:ascii="Times New Roman" w:hAnsi="Times New Roman" w:cs="Times New Roman"/>
          <w:sz w:val="26"/>
          <w:szCs w:val="26"/>
        </w:rPr>
        <w:t>3) на обязательное медицинское страхование - в размере 0,0 процента.</w:t>
      </w:r>
    </w:p>
    <w:p w:rsidR="00B44657" w:rsidRDefault="00B44657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73EF" w:rsidRPr="00001F16" w:rsidRDefault="00B773EF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3</w:t>
      </w:r>
    </w:p>
    <w:p w:rsidR="004F66DC" w:rsidRPr="004F66DC" w:rsidRDefault="004F66DC" w:rsidP="004F66D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6D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Проверить возможность освобождения от уплаты налогов, страховых взносов за отчетные периоды, относящиеся ко 2 кварталу 2020 года можно на сайте </w:t>
      </w:r>
      <w:proofErr w:type="spellStart"/>
      <w:r w:rsidRPr="004F66DC">
        <w:rPr>
          <w:rFonts w:ascii="Times New Roman" w:hAnsi="Times New Roman" w:cs="Times New Roman"/>
          <w:b/>
          <w:bCs/>
          <w:sz w:val="26"/>
          <w:szCs w:val="26"/>
          <w:lang w:val="en-US"/>
        </w:rPr>
        <w:t>servise</w:t>
      </w:r>
      <w:proofErr w:type="spellEnd"/>
      <w:r w:rsidRPr="004F66DC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4F66DC">
        <w:rPr>
          <w:rFonts w:ascii="Times New Roman" w:hAnsi="Times New Roman" w:cs="Times New Roman"/>
          <w:b/>
          <w:bCs/>
          <w:sz w:val="26"/>
          <w:szCs w:val="26"/>
          <w:lang w:val="en-US"/>
        </w:rPr>
        <w:t>nalog</w:t>
      </w:r>
      <w:proofErr w:type="spellEnd"/>
      <w:r w:rsidRPr="004F66DC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4F66DC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  <w:r w:rsidRPr="004F66DC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4F66DC">
        <w:rPr>
          <w:rFonts w:ascii="Times New Roman" w:hAnsi="Times New Roman" w:cs="Times New Roman"/>
          <w:b/>
          <w:bCs/>
          <w:sz w:val="26"/>
          <w:szCs w:val="26"/>
          <w:lang w:val="en-US"/>
        </w:rPr>
        <w:t>covid</w:t>
      </w:r>
      <w:proofErr w:type="spellEnd"/>
      <w:r w:rsidRPr="004F66D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744151" w:rsidRPr="00001F16" w:rsidRDefault="002B6442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Общий порядок заполнения расчета по страховым взносам за расчетный (отчетный) период 2020 г. (далее –</w:t>
      </w:r>
      <w:r w:rsidR="00131802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1F16">
        <w:rPr>
          <w:rFonts w:ascii="Times New Roman" w:hAnsi="Times New Roman" w:cs="Times New Roman"/>
          <w:bCs/>
          <w:sz w:val="26"/>
          <w:szCs w:val="26"/>
        </w:rPr>
        <w:t>расчет)</w:t>
      </w:r>
      <w:r w:rsidRPr="00001F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001F16">
        <w:rPr>
          <w:rFonts w:ascii="Times New Roman" w:hAnsi="Times New Roman" w:cs="Times New Roman"/>
          <w:bCs/>
          <w:sz w:val="26"/>
          <w:szCs w:val="26"/>
        </w:rPr>
        <w:t>утвержден приказом ФНС РОССИИ от 18.09.2019г. № ММВ-7-11/470@</w:t>
      </w:r>
    </w:p>
    <w:p w:rsidR="004F66DC" w:rsidRDefault="004F66DC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744151" w:rsidRPr="00001F16" w:rsidRDefault="002B6442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Разъяснения </w:t>
      </w:r>
      <w:r w:rsidR="00B44657">
        <w:rPr>
          <w:rFonts w:ascii="Times New Roman" w:hAnsi="Times New Roman" w:cs="Times New Roman"/>
          <w:bCs/>
          <w:sz w:val="26"/>
          <w:szCs w:val="26"/>
        </w:rPr>
        <w:t>п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B44657">
        <w:rPr>
          <w:rFonts w:ascii="Times New Roman" w:hAnsi="Times New Roman" w:cs="Times New Roman"/>
          <w:bCs/>
          <w:sz w:val="26"/>
          <w:szCs w:val="26"/>
        </w:rPr>
        <w:t xml:space="preserve">вопросу </w:t>
      </w:r>
      <w:r w:rsidRPr="00001F16">
        <w:rPr>
          <w:rFonts w:ascii="Times New Roman" w:hAnsi="Times New Roman" w:cs="Times New Roman"/>
          <w:bCs/>
          <w:sz w:val="26"/>
          <w:szCs w:val="26"/>
        </w:rPr>
        <w:t>применени</w:t>
      </w:r>
      <w:r w:rsidR="00862332">
        <w:rPr>
          <w:rFonts w:ascii="Times New Roman" w:hAnsi="Times New Roman" w:cs="Times New Roman"/>
          <w:bCs/>
          <w:sz w:val="26"/>
          <w:szCs w:val="26"/>
        </w:rPr>
        <w:t>я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норм Федерального закона № 172-фз п</w:t>
      </w:r>
      <w:r w:rsidR="00744151" w:rsidRPr="00001F16">
        <w:rPr>
          <w:rFonts w:ascii="Times New Roman" w:hAnsi="Times New Roman" w:cs="Times New Roman"/>
          <w:bCs/>
          <w:sz w:val="26"/>
          <w:szCs w:val="26"/>
        </w:rPr>
        <w:t>риведены в письме ФНС России от 09.06.2020г. № БС-4-11/9528@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131802" w:rsidRPr="00001F16" w:rsidRDefault="00131802" w:rsidP="000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F16">
        <w:rPr>
          <w:rFonts w:ascii="Times New Roman" w:hAnsi="Times New Roman" w:cs="Times New Roman"/>
          <w:sz w:val="26"/>
          <w:szCs w:val="26"/>
        </w:rPr>
        <w:t xml:space="preserve">До внесения соответствующих изменений в </w:t>
      </w:r>
      <w:hyperlink r:id="rId9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Приложение N 5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заполнения расчета </w:t>
      </w:r>
      <w:r w:rsidRPr="00001F16">
        <w:rPr>
          <w:rFonts w:ascii="Times New Roman" w:hAnsi="Times New Roman" w:cs="Times New Roman"/>
          <w:sz w:val="26"/>
          <w:szCs w:val="26"/>
        </w:rPr>
        <w:t xml:space="preserve">в части дополнения кодов тарифа плательщика страховых взносов плательщики страховых взносов, применяющие пониженные тарифы страховых взносов в соответствии с положениями Федерального </w:t>
      </w:r>
      <w:hyperlink r:id="rId10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N 172-ФЗ, для отражения в Расчете указывают код тарифа плательщика страховых взносов "21".</w:t>
      </w:r>
    </w:p>
    <w:p w:rsidR="00001F16" w:rsidRDefault="00001F16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4151" w:rsidRPr="00001F16" w:rsidRDefault="00B773EF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7</w:t>
      </w:r>
    </w:p>
    <w:p w:rsidR="00131802" w:rsidRPr="00001F16" w:rsidRDefault="00131802" w:rsidP="0000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F16">
        <w:rPr>
          <w:rFonts w:ascii="Times New Roman" w:hAnsi="Times New Roman" w:cs="Times New Roman"/>
          <w:sz w:val="26"/>
          <w:szCs w:val="26"/>
        </w:rPr>
        <w:t xml:space="preserve">До внесения соответствующих изменений в </w:t>
      </w:r>
      <w:hyperlink r:id="rId11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Приложение N 7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заполнения расчета </w:t>
      </w:r>
      <w:r w:rsidRPr="00001F16">
        <w:rPr>
          <w:rFonts w:ascii="Times New Roman" w:hAnsi="Times New Roman" w:cs="Times New Roman"/>
          <w:sz w:val="26"/>
          <w:szCs w:val="26"/>
        </w:rPr>
        <w:t xml:space="preserve">в части дополнения кодов категории застрахованного лица указанные выше плательщики страховых взносов при заполнении </w:t>
      </w:r>
      <w:hyperlink r:id="rId12" w:history="1">
        <w:r w:rsidRPr="00001F16">
          <w:rPr>
            <w:rFonts w:ascii="Times New Roman" w:hAnsi="Times New Roman" w:cs="Times New Roman"/>
            <w:color w:val="0000FF"/>
            <w:sz w:val="26"/>
            <w:szCs w:val="26"/>
          </w:rPr>
          <w:t>подраздела 3.2.1</w:t>
        </w:r>
      </w:hyperlink>
      <w:r w:rsidRPr="00001F16">
        <w:rPr>
          <w:rFonts w:ascii="Times New Roman" w:hAnsi="Times New Roman" w:cs="Times New Roman"/>
          <w:sz w:val="26"/>
          <w:szCs w:val="26"/>
        </w:rPr>
        <w:t xml:space="preserve"> "Сведения о сумме выплат и иных вознаграждений, начисленных в пользу физического лица", раздела 3 Расчета указывают коды категории застрахованного лица:</w:t>
      </w:r>
    </w:p>
    <w:p w:rsidR="00926394" w:rsidRPr="00001F16" w:rsidRDefault="00131802" w:rsidP="00001F16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0D53" w:rsidRPr="00001F16">
        <w:rPr>
          <w:rFonts w:ascii="Times New Roman" w:hAnsi="Times New Roman" w:cs="Times New Roman"/>
          <w:bCs/>
          <w:sz w:val="26"/>
          <w:szCs w:val="26"/>
        </w:rPr>
        <w:t xml:space="preserve">1) КВ - Физические лица, с выплат и вознаграждений которым исчисляются страховые взносы плательщиками в соответствии с Федеральным законом № 172-ФЗ;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744151" w:rsidRPr="00001F16" w:rsidRDefault="00744151" w:rsidP="00001F16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2) ВЖКВ - Застрахованные в системе ОПС лица из числа иностранных граждан или лиц без гражданства, временно проживающие на территории РФ, а также временно пребывающие на территории РФ иностранные граждане или лица без гражданства, которым предоставлено временное убежище в соответствии с Федеральным законом от 19.02.1993 № 4528-1 «О беженцах», с выплат и вознаграждений которым исчисляются страховые взносы плательщиками в соответствии с Федеральным</w:t>
      </w:r>
      <w:proofErr w:type="gramEnd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 законом № 172-ФЗ;  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744151" w:rsidRPr="00001F16" w:rsidRDefault="00744151" w:rsidP="00001F16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3) ВПКВ - Иностранные граждане или лица без гражданства (за исключением высококвалифицированных специалистов в соответствии с Федеральным законом </w:t>
      </w:r>
      <w:r w:rsidRPr="00001F1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 25.07.2002г. № 115-ФЗ «О правовом положении иностранных граждан в РФ»), временно пребывающие на территории РФ, с выплат и вознаграждений которым исчисляются страховые взносы плательщиками в соответствии с Федеральным законом № 172-ФЗ. 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744151" w:rsidRPr="00001F16" w:rsidRDefault="00744151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Состав формы Расчета по страховым взносам за отчетные (расчетные) периоды 2020г.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включает следующие разделы: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Титульный лист заполняют все плательщики.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Плательщики страховых взносов, производящие выплаты и иные вознаграждения в пользу физических лиц заполняют:</w:t>
      </w:r>
    </w:p>
    <w:p w:rsidR="00926394" w:rsidRPr="00001F16" w:rsidRDefault="00120D53" w:rsidP="00001F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Раздел 1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«Сводные данные об обязательствах плательщика страховых взносов»</w:t>
      </w:r>
      <w:r w:rsidRPr="00001F16">
        <w:rPr>
          <w:rFonts w:ascii="Times New Roman" w:hAnsi="Times New Roman" w:cs="Times New Roman"/>
          <w:bCs/>
          <w:sz w:val="26"/>
          <w:szCs w:val="26"/>
        </w:rPr>
        <w:t>;</w:t>
      </w:r>
    </w:p>
    <w:p w:rsidR="00926394" w:rsidRPr="00001F16" w:rsidRDefault="00120D53" w:rsidP="00001F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Подразделы 1.1 и 1.2 приложения 1 к разделу 1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«Расчет сумм страховых взносов на обязательное пенсионное страхование и обязательное медицинское страхование»</w:t>
      </w:r>
      <w:r w:rsidRPr="00001F16">
        <w:rPr>
          <w:rFonts w:ascii="Times New Roman" w:hAnsi="Times New Roman" w:cs="Times New Roman"/>
          <w:bCs/>
          <w:sz w:val="26"/>
          <w:szCs w:val="26"/>
        </w:rPr>
        <w:t>;</w:t>
      </w:r>
    </w:p>
    <w:p w:rsidR="00926394" w:rsidRPr="00001F16" w:rsidRDefault="00120D53" w:rsidP="00001F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Приложение 2 к разделу 1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«Расчет сумм страховых взносов на обязательное социальное страхование на случай временной нетрудоспособности и в связи с материнством»</w:t>
      </w:r>
      <w:r w:rsidRPr="00001F16">
        <w:rPr>
          <w:rFonts w:ascii="Times New Roman" w:hAnsi="Times New Roman" w:cs="Times New Roman"/>
          <w:bCs/>
          <w:sz w:val="26"/>
          <w:szCs w:val="26"/>
        </w:rPr>
        <w:t>;</w:t>
      </w:r>
    </w:p>
    <w:p w:rsidR="00926394" w:rsidRPr="00001F16" w:rsidRDefault="00120D53" w:rsidP="00001F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Раздел 3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«Персонифицированные сведения о застрахованных лицах»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744151" w:rsidRPr="00001F16" w:rsidRDefault="00744151" w:rsidP="00001F16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Плательщики страховых взносов, не производящие выплаты и иные вознаграждения в пользу физических лиц </w:t>
      </w: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 последние 3 месяца вправе представить:</w:t>
      </w:r>
    </w:p>
    <w:p w:rsidR="00926394" w:rsidRPr="00001F16" w:rsidRDefault="00120D53" w:rsidP="00001F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Раздел 1 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«Сводные данные об обязательствах плательщика страховых взносов» </w:t>
      </w:r>
      <w:r w:rsidRPr="00001F16">
        <w:rPr>
          <w:rFonts w:ascii="Times New Roman" w:hAnsi="Times New Roman" w:cs="Times New Roman"/>
          <w:bCs/>
          <w:sz w:val="26"/>
          <w:szCs w:val="26"/>
        </w:rPr>
        <w:t>без приложений;</w:t>
      </w:r>
    </w:p>
    <w:p w:rsidR="00926394" w:rsidRPr="00001F16" w:rsidRDefault="00120D53" w:rsidP="00001F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Раздел 3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«Персонифицированные сведения о застрахованных лицах»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При этом необходимо отразить по строке 001 «Тип плательщика» раздела 1 «Сводные данные об обязательствах плательщика страховых взносов» значение 2 «выплаты и иные вознаграждения в пользу физических лиц в последние три месяца расчетного (отчетного) периода фактически не начислялись».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744151" w:rsidRPr="00001F16" w:rsidRDefault="00744151" w:rsidP="00001F16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Плательщики страховых взносов – главы крестьянских (фермерских) хозяйств заполняют: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26394" w:rsidRPr="00001F16" w:rsidRDefault="00120D53" w:rsidP="00001F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Раздел 2 «Сводные данные об обязательствах плательщиков страховых взносов – глав крестьянских (фермерских) хозяйств»;</w:t>
      </w:r>
    </w:p>
    <w:p w:rsidR="00744151" w:rsidRPr="00001F16" w:rsidRDefault="00887B5D" w:rsidP="00001F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П</w:t>
      </w:r>
      <w:r w:rsidR="00744151" w:rsidRPr="00001F16">
        <w:rPr>
          <w:rFonts w:ascii="Times New Roman" w:hAnsi="Times New Roman" w:cs="Times New Roman"/>
          <w:bCs/>
          <w:sz w:val="26"/>
          <w:szCs w:val="26"/>
        </w:rPr>
        <w:t>риложение 1 к разделу 2 «Расчет сумм страховых взносов, подлежащих уплате за главу и членов крестьянского (фермерского) хозяйства».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744151" w:rsidRPr="00001F16" w:rsidRDefault="00744151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Подразделы 1.3.1 и 1.3.2 приложения 1 к разделу 1, приложение 1.1. к разделу 1, приложения 5-8 к разделу 1 включаются в состав Расчета при применении плательщиками соответствующих тарифов страховых взносов. 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744151" w:rsidRPr="00001F16" w:rsidRDefault="00744151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>е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3 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«Расходы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РФ»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Pr="00001F16">
        <w:rPr>
          <w:rFonts w:ascii="Times New Roman" w:hAnsi="Times New Roman" w:cs="Times New Roman"/>
          <w:bCs/>
          <w:sz w:val="26"/>
          <w:szCs w:val="26"/>
        </w:rPr>
        <w:t>4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«Выплаты, произведенные за счет средств, финансируемых из федерального бюджета»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к разделу 1 Расчета не заполняются плательщиками страховых взносов, состоящими на учете на территории Удмуртской Республики, где реализуется пилотный проект, предусматривающий особенности финансового обеспечения</w:t>
      </w:r>
      <w:proofErr w:type="gramEnd"/>
      <w:r w:rsidRPr="00001F16">
        <w:rPr>
          <w:rFonts w:ascii="Times New Roman" w:hAnsi="Times New Roman" w:cs="Times New Roman"/>
          <w:bCs/>
          <w:sz w:val="26"/>
          <w:szCs w:val="26"/>
        </w:rPr>
        <w:t>, назначения и выплаты страхового обеспечения (Постановление Правительства РФ от 21.04.2011 г. №294).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44151" w:rsidRPr="00001F16" w:rsidRDefault="00744151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 xml:space="preserve">Исключением являются плательщики страховых взносов, изменившие в течение расчетного (отчетного) периода адрес местонахождения (места жительства) с территории субъекта РФ, не участвующего в пилотном проекте, на территорию Удмуртский Республики.  Указанные плательщики в приложении 3 и 4 к разделу 1 Расчета отражают суммы расходов, произведенные до начала применения положений об особенностях финансового обеспечения, назначения и выплаты страхового обеспечения.      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375334" w:rsidRPr="00001F16" w:rsidRDefault="00375334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С 2020 г. на территории Удмуртской Республики реализуется пилотный проект, предусматривающий особенности финансового обеспечения, назначения и выплаты страхового обеспечения.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Следовательно, при заполнении приложения 2 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«Расчет сумм страховых взносов на обязательное социальное страхование на случай временной нетрудоспособности и в связи с материнством» </w:t>
      </w:r>
      <w:r w:rsidRPr="00001F16">
        <w:rPr>
          <w:rFonts w:ascii="Times New Roman" w:hAnsi="Times New Roman" w:cs="Times New Roman"/>
          <w:bCs/>
          <w:sz w:val="26"/>
          <w:szCs w:val="26"/>
        </w:rPr>
        <w:t>к разделу 1 Расчета в поле 002 «Признак выплат» указывается значение «1» - прямые выплаты страхового обеспечения по обязательному социальному страхованию на случай временной нетрудоспособности и в связи с материнством  территориальным органом ФСС застрахованному лицу.</w:t>
      </w:r>
      <w:proofErr w:type="gramEnd"/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А по строке 070 «Произведено расходов на выплату страхового обеспечения» приложения 2 к раздел</w:t>
      </w:r>
      <w:r w:rsidR="00001F16">
        <w:rPr>
          <w:rFonts w:ascii="Times New Roman" w:hAnsi="Times New Roman" w:cs="Times New Roman"/>
          <w:bCs/>
          <w:sz w:val="26"/>
          <w:szCs w:val="26"/>
        </w:rPr>
        <w:t>у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1 Расчета отражается 0 (ноль). 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Исключения предусмотрены для плательщиков страховых взносов приведенных на предыдущем слайде.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375334" w:rsidRPr="00001F16" w:rsidRDefault="00375334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Особенности заполнения Расчета при применении нескольких тарифов страховых взносов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>:</w:t>
      </w:r>
      <w:r w:rsidR="00887B5D" w:rsidRPr="00001F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75334" w:rsidRPr="00001F16" w:rsidRDefault="00375334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случае применения в течение расчетного (отчетного) периода более одного тарифа страховых взносов, в Расчет включается столько приложений 1 и приложений 2 к разделу 1, сколько тарифов применялось в течение расчетного (отчетного) периода. </w:t>
      </w:r>
      <w:r w:rsidRPr="00001F16">
        <w:rPr>
          <w:rFonts w:ascii="Times New Roman" w:hAnsi="Times New Roman" w:cs="Times New Roman"/>
          <w:bCs/>
          <w:sz w:val="26"/>
          <w:szCs w:val="26"/>
        </w:rPr>
        <w:tab/>
        <w:t xml:space="preserve">Например: Плательщик страховых взносов в Расчете за 3 месяца 2020г. указывал код тарифа 01 «Плательщики страховых взносов, применяющие основной тариф страховых взносов». В апреле, мае, июне 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плательщик </w:t>
      </w:r>
      <w:r w:rsidRPr="00001F16">
        <w:rPr>
          <w:rFonts w:ascii="Times New Roman" w:hAnsi="Times New Roman" w:cs="Times New Roman"/>
          <w:bCs/>
          <w:sz w:val="26"/>
          <w:szCs w:val="26"/>
        </w:rPr>
        <w:t>имеет право на применение пониженного тарифа страховых взносов  в соответствии с Федеральным законом № 172-ФЗ.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375334" w:rsidRPr="00001F16" w:rsidRDefault="00EE0F95" w:rsidP="00001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В это</w:t>
      </w:r>
      <w:r w:rsidR="00001F16">
        <w:rPr>
          <w:rFonts w:ascii="Times New Roman" w:hAnsi="Times New Roman" w:cs="Times New Roman"/>
          <w:bCs/>
          <w:sz w:val="26"/>
          <w:szCs w:val="26"/>
        </w:rPr>
        <w:t>м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случае, </w:t>
      </w:r>
      <w:r w:rsidR="00375334" w:rsidRPr="00001F16">
        <w:rPr>
          <w:rFonts w:ascii="Times New Roman" w:hAnsi="Times New Roman" w:cs="Times New Roman"/>
          <w:bCs/>
          <w:sz w:val="26"/>
          <w:szCs w:val="26"/>
        </w:rPr>
        <w:t>Расчет за полугодие 2020 г. должен содержать: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1) Титульный лист;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2) Раздел 1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 ««Сводные данные об обязательствах плательщика страховых взносов»;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3) Подразделы 1.1 и 1.2 приложения 1 к разделу 1 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«Расчет сумм страховых взносов на обязательное пенсионное страхование и обязательное медицинское страхование» </w:t>
      </w:r>
      <w:r w:rsidRPr="00001F16">
        <w:rPr>
          <w:rFonts w:ascii="Times New Roman" w:hAnsi="Times New Roman" w:cs="Times New Roman"/>
          <w:bCs/>
          <w:sz w:val="26"/>
          <w:szCs w:val="26"/>
        </w:rPr>
        <w:t>с кодом тарифа плательщика «01» и отражением числовых показателей только по графе 1 «Всего с начала расчетного периода».  По графам 2, 3, 4 (1 месяц, 2 месяц, 3 месяц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 соответственно</w:t>
      </w:r>
      <w:r w:rsidRPr="00001F16">
        <w:rPr>
          <w:rFonts w:ascii="Times New Roman" w:hAnsi="Times New Roman" w:cs="Times New Roman"/>
          <w:bCs/>
          <w:sz w:val="26"/>
          <w:szCs w:val="26"/>
        </w:rPr>
        <w:t>) отражается  0 (ноль);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4) Подразделы 1.1 и 1.2 приложения 1 к разделу 1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 «Расчет сумм страховых взносов на обязательное пенсионное страхование и обязательное медицинское страхование»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с кодом тарифа плательщика «21» и отражением числовых показателей по графе 1 «Всего с начала расчетного периода»</w:t>
      </w:r>
      <w:r w:rsidR="00EE0F95" w:rsidRPr="00001F16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001F16">
        <w:rPr>
          <w:rFonts w:ascii="Times New Roman" w:hAnsi="Times New Roman" w:cs="Times New Roman"/>
          <w:bCs/>
          <w:sz w:val="26"/>
          <w:szCs w:val="26"/>
        </w:rPr>
        <w:t>по графам 2, 3, 4 (1 месяц, 2 месяц, 3 месяц);</w:t>
      </w:r>
      <w:proofErr w:type="gramEnd"/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5) Приложение 2 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«Расчет сумм страховых взносов на обязательное социальное страхование на случай временной нетрудоспособности и в связи с материнством» </w:t>
      </w:r>
      <w:r w:rsidRPr="00001F16">
        <w:rPr>
          <w:rFonts w:ascii="Times New Roman" w:hAnsi="Times New Roman" w:cs="Times New Roman"/>
          <w:bCs/>
          <w:sz w:val="26"/>
          <w:szCs w:val="26"/>
        </w:rPr>
        <w:t>к разделу 1 с кодом тарифа плательщика «01» и отражением числовых показателей только по графе 1 «Всего с начала расчетного периода».  По графам 2, 3, 4 (1 месяц, 2 месяц, 3 месяц) отражается 0 (ноль);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6) Приложение 2 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«Расчет сумм страховых взносов на обязательное социальное страхование на случай временной нетрудоспособности и в связи с материнством» </w:t>
      </w:r>
      <w:r w:rsidRPr="00001F16">
        <w:rPr>
          <w:rFonts w:ascii="Times New Roman" w:hAnsi="Times New Roman" w:cs="Times New Roman"/>
          <w:bCs/>
          <w:sz w:val="26"/>
          <w:szCs w:val="26"/>
        </w:rPr>
        <w:t>к разделу 1 с кодом тарифа плательщика «21» и отражением числовых показателей по графе 1 «Всего с начала расчетного периода», по графам 2, 3, 4 (1 месяц, 2 месяц, 3 месяц);</w:t>
      </w:r>
      <w:proofErr w:type="gramEnd"/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>При этом строки 070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 «Произведено расходов на выплату страхового обеспечения», 080 «Возмещено ФСС расходов на выплату страхового обеспечения», </w:t>
      </w:r>
      <w:r w:rsidRPr="00001F16">
        <w:rPr>
          <w:rFonts w:ascii="Times New Roman" w:hAnsi="Times New Roman" w:cs="Times New Roman"/>
          <w:bCs/>
          <w:sz w:val="26"/>
          <w:szCs w:val="26"/>
        </w:rPr>
        <w:t>090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 «Сумма страховых взносов, подлежащая уплате (сумма превышения произведенных расходов над исчисленными страховыми взносами)»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 приложения 2 к разделу 1  заполняются в целом по плательщику страховых взносов. 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>СЛАЙД 1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lastRenderedPageBreak/>
        <w:t>7) Раздел 3 «Персонифицированные сведения о застрахованных лицах» с отражением по строке 130 «Код категории застрахованного лица» - КВ, ВЖКВ или ВПКВ.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>Обращаем внимание, что сумма страховых взносов определяется как произведение базы для исчисления страховых взносов на тариф страховых взносов (0% в апреле, мае, июне</w:t>
      </w:r>
      <w:r w:rsidR="00FB6A0B">
        <w:rPr>
          <w:rFonts w:ascii="Times New Roman" w:hAnsi="Times New Roman" w:cs="Times New Roman"/>
          <w:bCs/>
          <w:sz w:val="26"/>
          <w:szCs w:val="26"/>
        </w:rPr>
        <w:t xml:space="preserve"> 2020г.</w:t>
      </w:r>
      <w:r w:rsidRPr="00001F16">
        <w:rPr>
          <w:rFonts w:ascii="Times New Roman" w:hAnsi="Times New Roman" w:cs="Times New Roman"/>
          <w:bCs/>
          <w:sz w:val="26"/>
          <w:szCs w:val="26"/>
        </w:rPr>
        <w:t>).</w:t>
      </w:r>
    </w:p>
    <w:p w:rsidR="00375334" w:rsidRPr="00001F16" w:rsidRDefault="00375334" w:rsidP="00001F1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ab/>
        <w:t xml:space="preserve">Таким образом, база для исчисления страховых взносов должна быть отражена по строке 050 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«База для исчисления страховых взносов» </w:t>
      </w:r>
      <w:r w:rsidRPr="00001F16">
        <w:rPr>
          <w:rFonts w:ascii="Times New Roman" w:hAnsi="Times New Roman" w:cs="Times New Roman"/>
          <w:bCs/>
          <w:sz w:val="26"/>
          <w:szCs w:val="26"/>
        </w:rPr>
        <w:t xml:space="preserve">подраздела 1.1, 1.2 приложения 1 к разделу 1 и </w:t>
      </w:r>
      <w:proofErr w:type="gramStart"/>
      <w:r w:rsidRPr="00001F16">
        <w:rPr>
          <w:rFonts w:ascii="Times New Roman" w:hAnsi="Times New Roman" w:cs="Times New Roman"/>
          <w:bCs/>
          <w:sz w:val="26"/>
          <w:szCs w:val="26"/>
        </w:rPr>
        <w:t>приложении</w:t>
      </w:r>
      <w:proofErr w:type="gramEnd"/>
      <w:r w:rsidRPr="00001F16">
        <w:rPr>
          <w:rFonts w:ascii="Times New Roman" w:hAnsi="Times New Roman" w:cs="Times New Roman"/>
          <w:bCs/>
          <w:sz w:val="26"/>
          <w:szCs w:val="26"/>
        </w:rPr>
        <w:t xml:space="preserve"> 2 к разделу 1. Сумма исчисленных страховых взносов – по строке 060 </w:t>
      </w:r>
      <w:r w:rsidR="00FA2BFF" w:rsidRPr="00001F16">
        <w:rPr>
          <w:rFonts w:ascii="Times New Roman" w:hAnsi="Times New Roman" w:cs="Times New Roman"/>
          <w:bCs/>
          <w:sz w:val="26"/>
          <w:szCs w:val="26"/>
        </w:rPr>
        <w:t xml:space="preserve">«Исчислено страховых взносов» </w:t>
      </w:r>
      <w:r w:rsidRPr="00001F16">
        <w:rPr>
          <w:rFonts w:ascii="Times New Roman" w:hAnsi="Times New Roman" w:cs="Times New Roman"/>
          <w:bCs/>
          <w:sz w:val="26"/>
          <w:szCs w:val="26"/>
        </w:rPr>
        <w:t>в апреле, мае, июне 2020г. в размере 0 (ноль).</w:t>
      </w:r>
    </w:p>
    <w:p w:rsidR="00037BF2" w:rsidRPr="00001F16" w:rsidRDefault="00037BF2" w:rsidP="00001F1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1F16">
        <w:rPr>
          <w:rFonts w:ascii="Times New Roman" w:hAnsi="Times New Roman" w:cs="Times New Roman"/>
          <w:b/>
          <w:bCs/>
          <w:sz w:val="26"/>
          <w:szCs w:val="26"/>
        </w:rPr>
        <w:t xml:space="preserve">СЛАЙД </w:t>
      </w:r>
      <w:r w:rsidR="00B773EF" w:rsidRPr="00001F16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FF1E50" w:rsidRPr="00001F16" w:rsidRDefault="00037BF2" w:rsidP="00001F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F16">
        <w:rPr>
          <w:rFonts w:ascii="Times New Roman" w:hAnsi="Times New Roman" w:cs="Times New Roman"/>
          <w:bCs/>
          <w:sz w:val="26"/>
          <w:szCs w:val="26"/>
        </w:rPr>
        <w:t xml:space="preserve">Спасибо за внимание </w:t>
      </w:r>
    </w:p>
    <w:sectPr w:rsidR="00FF1E50" w:rsidRPr="000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6B"/>
    <w:multiLevelType w:val="hybridMultilevel"/>
    <w:tmpl w:val="F1D28BC6"/>
    <w:lvl w:ilvl="0" w:tplc="BF164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A7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A3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29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6E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E4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84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6D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9D28D5"/>
    <w:multiLevelType w:val="hybridMultilevel"/>
    <w:tmpl w:val="617678C8"/>
    <w:lvl w:ilvl="0" w:tplc="05ACD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26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8C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4A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8E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67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6D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89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C8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D13191"/>
    <w:multiLevelType w:val="hybridMultilevel"/>
    <w:tmpl w:val="7B5E33AC"/>
    <w:lvl w:ilvl="0" w:tplc="B3869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AE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7B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02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69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7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C9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4B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ED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D964F4"/>
    <w:multiLevelType w:val="hybridMultilevel"/>
    <w:tmpl w:val="80409072"/>
    <w:lvl w:ilvl="0" w:tplc="D9B69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ECBE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7C07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66D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0A56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30BF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06B9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F23A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9E2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57"/>
    <w:rsid w:val="00001F16"/>
    <w:rsid w:val="00037BF2"/>
    <w:rsid w:val="00074F1E"/>
    <w:rsid w:val="00120D53"/>
    <w:rsid w:val="00131802"/>
    <w:rsid w:val="002B6442"/>
    <w:rsid w:val="00375334"/>
    <w:rsid w:val="004C142C"/>
    <w:rsid w:val="004F66DC"/>
    <w:rsid w:val="0051558E"/>
    <w:rsid w:val="00595067"/>
    <w:rsid w:val="00744151"/>
    <w:rsid w:val="007F4357"/>
    <w:rsid w:val="00862332"/>
    <w:rsid w:val="00887B5D"/>
    <w:rsid w:val="008E1FB8"/>
    <w:rsid w:val="00926394"/>
    <w:rsid w:val="009D1CE0"/>
    <w:rsid w:val="00A01107"/>
    <w:rsid w:val="00B30505"/>
    <w:rsid w:val="00B44657"/>
    <w:rsid w:val="00B773EF"/>
    <w:rsid w:val="00D06C62"/>
    <w:rsid w:val="00EE0F95"/>
    <w:rsid w:val="00F564A8"/>
    <w:rsid w:val="00FA2BFF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0B69C1CDF2D49975AA7BE8CC999B751917C85DE2A986E23164B8F3D7D64E10168C98C123980639A59FE3E78v7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690B69C1CDF2D49975AA7BE8CC999B751917D87D62A986E23164B8F3D7D64F30130C58E152785668F0FAF78D28C5048FD6BE4E25902E07Bv4L" TargetMode="External"/><Relationship Id="rId12" Type="http://schemas.openxmlformats.org/officeDocument/2006/relationships/hyperlink" Target="consultantplus://offline/ref=2ECEB7D844855096764BF7C984CD1FBC3C96A810B019949974703625F50FECA64298130EAC82D4A2CD0BAE17A048D41FF8C6A36831CD5C5DQCM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690B69C1CDF2D49975AA7BE8CC999B751917D87D62A986E23164B8F3D7D64F30130C58E152787658F0FAF78D28C5048FD6BE4E25902E07Bv4L" TargetMode="External"/><Relationship Id="rId11" Type="http://schemas.openxmlformats.org/officeDocument/2006/relationships/hyperlink" Target="consultantplus://offline/ref=2ECEB7D844855096764BF7C984CD1FBC3C96A810B019949974703625F50FECA64298130EAC83D0AECC0BAE17A048D41FF8C6A36831CD5C5DQCM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043F73EDC4B3B3E88E184C1D921E38E00548427DC6F7C829C858BCAA290C79AB89D485DF2E8CE02EE002EE589EC7921A48B1B2E8C0B1E0w1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43F73EDC4B3B3E88E184C1D921E38E003494778CFF7C829C858BCAA290C79AB89D485DF2F8CEE28E002EE589EC7921A48B1B2E8C0B1E0w1K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Ажгихина Ирина Александровна</dc:creator>
  <cp:keywords/>
  <dc:description/>
  <cp:lastModifiedBy>Еланцева Марина Николаевна</cp:lastModifiedBy>
  <cp:revision>12</cp:revision>
  <dcterms:created xsi:type="dcterms:W3CDTF">2020-07-20T04:58:00Z</dcterms:created>
  <dcterms:modified xsi:type="dcterms:W3CDTF">2020-08-03T07:25:00Z</dcterms:modified>
</cp:coreProperties>
</file>