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F" w:rsidRDefault="000D5AAF" w:rsidP="003010F8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5AAF" w:rsidRDefault="000D5AAF" w:rsidP="003010F8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</w:p>
    <w:p w:rsidR="000D5AAF" w:rsidRPr="002F3E03" w:rsidRDefault="000D5AAF" w:rsidP="003010F8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</w:p>
    <w:p w:rsidR="000D5AAF" w:rsidRDefault="000D5AAF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>по Чувашской Республике  по р</w:t>
      </w:r>
      <w:r w:rsidRPr="00017908">
        <w:rPr>
          <w:rFonts w:ascii="Times New Roman" w:hAnsi="Times New Roman"/>
          <w:b/>
          <w:sz w:val="28"/>
          <w:szCs w:val="28"/>
        </w:rPr>
        <w:t xml:space="preserve">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908">
        <w:rPr>
          <w:rFonts w:ascii="Times New Roman" w:hAnsi="Times New Roman"/>
          <w:b/>
          <w:sz w:val="28"/>
          <w:szCs w:val="28"/>
        </w:rPr>
        <w:t xml:space="preserve">Концепции открытости </w:t>
      </w:r>
    </w:p>
    <w:p w:rsidR="000D5AAF" w:rsidRDefault="000D5AAF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</w:t>
      </w:r>
      <w:r w:rsidRPr="00FD3573">
        <w:rPr>
          <w:rFonts w:ascii="Times New Roman" w:hAnsi="Times New Roman"/>
          <w:b/>
          <w:sz w:val="28"/>
          <w:szCs w:val="28"/>
        </w:rPr>
        <w:t>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D5AAF" w:rsidRPr="00CB663C" w:rsidRDefault="000D5AAF" w:rsidP="003B562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D5AAF" w:rsidRDefault="000D5AAF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AAF" w:rsidRDefault="000D5AAF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p w:rsidR="000D5AAF" w:rsidRPr="004928DD" w:rsidRDefault="000D5AAF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451"/>
        <w:gridCol w:w="3053"/>
        <w:gridCol w:w="3106"/>
      </w:tblGrid>
      <w:tr w:rsidR="000D5AAF" w:rsidRPr="00794F43" w:rsidTr="00C755F6">
        <w:trPr>
          <w:trHeight w:val="554"/>
          <w:jc w:val="center"/>
        </w:trPr>
        <w:tc>
          <w:tcPr>
            <w:tcW w:w="815" w:type="dxa"/>
          </w:tcPr>
          <w:p w:rsidR="000D5AAF" w:rsidRPr="00B5477A" w:rsidRDefault="000D5AAF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5AAF" w:rsidRPr="00B5477A" w:rsidRDefault="000D5AAF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51" w:type="dxa"/>
            <w:vAlign w:val="center"/>
          </w:tcPr>
          <w:p w:rsidR="000D5AAF" w:rsidRPr="00B5477A" w:rsidRDefault="000D5AAF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0D5AAF" w:rsidRPr="00B5477A" w:rsidRDefault="000D5AAF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6" w:type="dxa"/>
            <w:vAlign w:val="center"/>
          </w:tcPr>
          <w:p w:rsidR="000D5AAF" w:rsidRPr="00B5477A" w:rsidRDefault="000D5AAF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D5AAF" w:rsidRPr="00794F43" w:rsidTr="00C755F6">
        <w:trPr>
          <w:trHeight w:val="1416"/>
          <w:jc w:val="center"/>
        </w:trPr>
        <w:tc>
          <w:tcPr>
            <w:tcW w:w="815" w:type="dxa"/>
          </w:tcPr>
          <w:p w:rsidR="000D5AAF" w:rsidRPr="004928DD" w:rsidRDefault="000D5AAF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0D5AAF" w:rsidRPr="007137DF" w:rsidRDefault="000D5AAF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ответственных за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открытыми данными,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>по актуальным проблемам открытия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  <w:right w:val="single" w:sz="8" w:space="0" w:color="auto"/>
            </w:tcBorders>
          </w:tcPr>
          <w:p w:rsidR="000D5AAF" w:rsidRPr="007137DF" w:rsidRDefault="000D5AAF" w:rsidP="00853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6" w:type="dxa"/>
            <w:tcBorders>
              <w:left w:val="nil"/>
            </w:tcBorders>
          </w:tcPr>
          <w:p w:rsidR="000D5AAF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D5AAF" w:rsidRPr="00223600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  <w:p w:rsidR="000D5AAF" w:rsidRPr="007137DF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D5AAF" w:rsidRPr="004928DD" w:rsidRDefault="000D5AAF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  <w:gridCol w:w="2977"/>
        <w:gridCol w:w="3109"/>
      </w:tblGrid>
      <w:tr w:rsidR="000D5AAF" w:rsidRPr="00693619" w:rsidTr="004B7513">
        <w:tc>
          <w:tcPr>
            <w:tcW w:w="817" w:type="dxa"/>
          </w:tcPr>
          <w:p w:rsidR="000D5AAF" w:rsidRPr="00DC7DB8" w:rsidRDefault="000D5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5AAF" w:rsidRPr="00DC7DB8" w:rsidRDefault="000D5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0D5AAF" w:rsidRPr="00DC7DB8" w:rsidRDefault="000D5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0D5AAF" w:rsidRPr="00DC7DB8" w:rsidRDefault="000D5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9" w:type="dxa"/>
            <w:vAlign w:val="center"/>
          </w:tcPr>
          <w:p w:rsidR="000D5AAF" w:rsidRPr="00DC7DB8" w:rsidRDefault="000D5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4928DD" w:rsidRDefault="000D5AAF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DC7DB8" w:rsidRDefault="000D5AAF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Чувашской Республике </w:t>
            </w:r>
          </w:p>
        </w:tc>
        <w:tc>
          <w:tcPr>
            <w:tcW w:w="2977" w:type="dxa"/>
          </w:tcPr>
          <w:p w:rsidR="000D5AAF" w:rsidRPr="00693619" w:rsidRDefault="000D5AAF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0D5AAF" w:rsidRPr="00693619" w:rsidRDefault="000D5AAF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4928DD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5AAF" w:rsidRPr="00DC7DB8" w:rsidRDefault="000D5AAF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D5AAF" w:rsidRDefault="000D5AAF" w:rsidP="005909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3109" w:type="dxa"/>
            <w:tcBorders>
              <w:left w:val="nil"/>
              <w:bottom w:val="single" w:sz="8" w:space="0" w:color="auto"/>
            </w:tcBorders>
          </w:tcPr>
          <w:p w:rsidR="000D5AAF" w:rsidRDefault="000D5AAF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4928DD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E21A66" w:rsidRDefault="000D5AAF" w:rsidP="00AA7D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официального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D5AAF" w:rsidRDefault="000D5AAF" w:rsidP="00182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огласно графику </w:t>
            </w:r>
          </w:p>
          <w:p w:rsidR="000D5AAF" w:rsidRPr="00693619" w:rsidRDefault="000D5AAF" w:rsidP="00C13C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год</w:t>
            </w:r>
          </w:p>
        </w:tc>
        <w:tc>
          <w:tcPr>
            <w:tcW w:w="3109" w:type="dxa"/>
            <w:tcBorders>
              <w:left w:val="nil"/>
              <w:bottom w:val="single" w:sz="8" w:space="0" w:color="auto"/>
            </w:tcBorders>
          </w:tcPr>
          <w:p w:rsidR="000D5AAF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D5AAF" w:rsidRPr="00223600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D5AAF" w:rsidRPr="00693619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4928DD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B45125" w:rsidRDefault="000D5AAF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4928DD" w:rsidRDefault="000D5AAF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693619" w:rsidRDefault="000D5AAF" w:rsidP="002F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открытых данных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, размещенных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>сайте ФНС России, и разработка предложений по их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D5AAF" w:rsidRPr="00F9124A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0D5AAF" w:rsidRDefault="000D5AAF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подразделения </w:t>
            </w:r>
          </w:p>
          <w:p w:rsidR="000D5AAF" w:rsidRPr="00693619" w:rsidRDefault="000D5AAF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E21A66" w:rsidRDefault="000D5AAF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России по Чувашской Республике </w:t>
            </w:r>
          </w:p>
        </w:tc>
        <w:tc>
          <w:tcPr>
            <w:tcW w:w="2977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0D5AAF" w:rsidRPr="00693619" w:rsidRDefault="000D5AAF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2D1C64" w:rsidRDefault="000D5AA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977" w:type="dxa"/>
          </w:tcPr>
          <w:p w:rsidR="000D5AAF" w:rsidRPr="008F265B" w:rsidRDefault="000D5AAF" w:rsidP="00A90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109" w:type="dxa"/>
          </w:tcPr>
          <w:p w:rsidR="000D5AAF" w:rsidRDefault="000D5AAF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D5AAF" w:rsidRPr="00717331" w:rsidRDefault="000D5AAF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2D1C64" w:rsidRDefault="000D5AAF" w:rsidP="004E1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0D5AAF" w:rsidRPr="00017908" w:rsidRDefault="000D5AAF" w:rsidP="00A90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109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налогообложения имущества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2A0282" w:rsidRDefault="000D5AAF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УФНС России по Чувашской Республике</w:t>
            </w:r>
          </w:p>
        </w:tc>
        <w:tc>
          <w:tcPr>
            <w:tcW w:w="2977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2F3E03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</w:p>
          <w:p w:rsidR="000D5AAF" w:rsidRPr="002F3E03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AAF" w:rsidRPr="002F3E03" w:rsidRDefault="000D5AA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5AAF" w:rsidRPr="00E457CD" w:rsidRDefault="000D5AAF" w:rsidP="002A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E21A66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</w:t>
            </w:r>
          </w:p>
        </w:tc>
      </w:tr>
      <w:tr w:rsidR="000D5AAF" w:rsidRPr="00693619" w:rsidTr="004B7513">
        <w:trPr>
          <w:trHeight w:val="569"/>
        </w:trPr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2A0282" w:rsidRDefault="000D5AAF" w:rsidP="0075425E">
            <w:pPr>
              <w:pStyle w:val="ListParagraph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Чувашской Республике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977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5AAF" w:rsidRPr="002D1C64" w:rsidRDefault="000D5AA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</w:tcPr>
          <w:p w:rsidR="000D5AAF" w:rsidRPr="00017908" w:rsidRDefault="000D5AAF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109" w:type="dxa"/>
          </w:tcPr>
          <w:p w:rsidR="000D5AAF" w:rsidRDefault="000D5AAF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</w:t>
            </w:r>
          </w:p>
          <w:p w:rsidR="000D5AAF" w:rsidRPr="00017908" w:rsidRDefault="000D5AAF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D5AAF" w:rsidRPr="002D1C64" w:rsidRDefault="000D5AAF" w:rsidP="003104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</w:tc>
        <w:tc>
          <w:tcPr>
            <w:tcW w:w="2977" w:type="dxa"/>
          </w:tcPr>
          <w:p w:rsidR="000D5AAF" w:rsidRPr="00017908" w:rsidRDefault="000D5AAF" w:rsidP="00310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0D5AAF" w:rsidRPr="00B027E3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D5AAF" w:rsidRPr="002D1C64" w:rsidRDefault="000D5AA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 по Чувашской Республике 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 и запросами пользователей информации</w:t>
            </w:r>
          </w:p>
        </w:tc>
        <w:tc>
          <w:tcPr>
            <w:tcW w:w="2977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109" w:type="dxa"/>
          </w:tcPr>
          <w:p w:rsidR="000D5AAF" w:rsidRPr="00B027E3" w:rsidRDefault="000D5AA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</w:tcPr>
          <w:p w:rsidR="000D5AAF" w:rsidRPr="00CF17A2" w:rsidRDefault="000D5AAF" w:rsidP="00BB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0D5AAF" w:rsidRDefault="000D5AA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AAF" w:rsidRPr="00017908" w:rsidRDefault="000D5AA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0D5AAF" w:rsidRDefault="000D5AA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D5AAF" w:rsidRPr="00693619" w:rsidTr="004B7513">
        <w:trPr>
          <w:trHeight w:val="274"/>
        </w:trPr>
        <w:tc>
          <w:tcPr>
            <w:tcW w:w="817" w:type="dxa"/>
          </w:tcPr>
          <w:p w:rsidR="000D5AAF" w:rsidRPr="00601B01" w:rsidRDefault="000D5AAF" w:rsidP="0060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556902" w:rsidRDefault="000D5AAF" w:rsidP="0055690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Чувашской </w:t>
            </w:r>
          </w:p>
        </w:tc>
        <w:tc>
          <w:tcPr>
            <w:tcW w:w="2977" w:type="dxa"/>
          </w:tcPr>
          <w:p w:rsidR="000D5AAF" w:rsidRPr="00017908" w:rsidRDefault="000D5AA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017908" w:rsidRDefault="000D5AA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5AAF" w:rsidRPr="00BB1221" w:rsidRDefault="000D5AAF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референтными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AAF" w:rsidRPr="00017908" w:rsidRDefault="000D5AAF" w:rsidP="00BB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5AAF" w:rsidRPr="00017908" w:rsidRDefault="000D5AAF" w:rsidP="00A90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109" w:type="dxa"/>
          </w:tcPr>
          <w:p w:rsidR="000D5AAF" w:rsidRDefault="000D5AAF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D5AAF" w:rsidRPr="00017908" w:rsidRDefault="000D5AAF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D5AAF" w:rsidRPr="002F61DB" w:rsidRDefault="000D5AAF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/плательщиков страховых взносов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взносов, либо направление на разъяснение права на налоговые льготы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0D5AAF" w:rsidRPr="002F61DB" w:rsidRDefault="000D5AAF" w:rsidP="00A90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0D5AAF" w:rsidRPr="00361A55" w:rsidRDefault="000D5AAF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- инициация мероприятий</w:t>
            </w:r>
          </w:p>
          <w:p w:rsidR="000D5AAF" w:rsidRDefault="000D5AAF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отделом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AF" w:rsidRPr="002F61DB" w:rsidRDefault="000D5AAF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rPr>
          <w:trHeight w:val="602"/>
        </w:trPr>
        <w:tc>
          <w:tcPr>
            <w:tcW w:w="817" w:type="dxa"/>
          </w:tcPr>
          <w:p w:rsidR="000D5AAF" w:rsidRPr="001C7324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1C7324" w:rsidRDefault="000D5AAF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совещаний-семинаров для территориальных налоговых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направлениям деятельности ФНС России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0D5AAF" w:rsidRDefault="000D5AAF" w:rsidP="00EB5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D5AAF" w:rsidRPr="00693619" w:rsidRDefault="000D5AAF" w:rsidP="00EB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rPr>
          <w:trHeight w:val="602"/>
        </w:trPr>
        <w:tc>
          <w:tcPr>
            <w:tcW w:w="817" w:type="dxa"/>
          </w:tcPr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0D5AAF" w:rsidRDefault="000D5AAF" w:rsidP="00ED4E1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мероприятиях постоянно действующих рабочих групп Чувашской Республики </w:t>
            </w:r>
          </w:p>
        </w:tc>
        <w:tc>
          <w:tcPr>
            <w:tcW w:w="2977" w:type="dxa"/>
          </w:tcPr>
          <w:p w:rsidR="000D5AAF" w:rsidRPr="007E3BDD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0D5AAF" w:rsidRDefault="000D5AAF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D5AAF" w:rsidRPr="007E3BDD" w:rsidRDefault="000D5AAF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rPr>
          <w:trHeight w:val="602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Управления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</w:p>
          <w:p w:rsidR="000D5AAF" w:rsidRPr="00556902" w:rsidRDefault="000D5AAF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России по Чувашской Республике 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России по Чувашской Республике 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Чувашской Республике </w:t>
            </w:r>
          </w:p>
        </w:tc>
        <w:tc>
          <w:tcPr>
            <w:tcW w:w="3109" w:type="dxa"/>
          </w:tcPr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отдел, </w:t>
            </w:r>
          </w:p>
          <w:p w:rsidR="000D5AAF" w:rsidRPr="007202AF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</w:tcPr>
          <w:p w:rsidR="000D5AAF" w:rsidRDefault="000D5AAF" w:rsidP="00B5216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>УФНС  России по Чувашской Республике,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Стандарт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color w:val="auto"/>
                <w:sz w:val="24"/>
                <w:szCs w:val="24"/>
              </w:rPr>
              <w:t>ому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протоколом заочного голосования Правительственной комиссии по координации деятельности открытог</w:t>
            </w:r>
            <w:r>
              <w:rPr>
                <w:rStyle w:val="2"/>
                <w:color w:val="auto"/>
                <w:sz w:val="24"/>
                <w:szCs w:val="24"/>
              </w:rPr>
              <w:t>о правительства от 24.06.2015 № </w:t>
            </w:r>
            <w:r w:rsidRPr="001648FF">
              <w:rPr>
                <w:rStyle w:val="2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D5AAF" w:rsidRPr="009175DC" w:rsidRDefault="000D5AAF" w:rsidP="00B5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России по Чувашской Республике </w:t>
            </w:r>
          </w:p>
        </w:tc>
        <w:tc>
          <w:tcPr>
            <w:tcW w:w="3109" w:type="dxa"/>
          </w:tcPr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616D7">
              <w:rPr>
                <w:sz w:val="24"/>
                <w:szCs w:val="24"/>
                <w:lang w:val="ru-RU" w:eastAsia="ru-RU"/>
              </w:rPr>
              <w:t>Общий отдел,</w:t>
            </w:r>
          </w:p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7616D7">
              <w:rPr>
                <w:sz w:val="24"/>
                <w:szCs w:val="24"/>
                <w:lang w:val="ru-RU" w:eastAsia="ru-RU"/>
              </w:rPr>
              <w:t>о</w:t>
            </w:r>
            <w:r w:rsidRPr="007616D7">
              <w:rPr>
                <w:bCs/>
                <w:sz w:val="24"/>
                <w:szCs w:val="24"/>
                <w:lang w:val="ru-RU" w:eastAsia="ru-RU"/>
              </w:rPr>
              <w:t>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 блоке региональной информации </w:t>
            </w:r>
            <w:r w:rsidRPr="007616D7">
              <w:rPr>
                <w:sz w:val="24"/>
                <w:szCs w:val="24"/>
                <w:lang w:val="ru-RU" w:eastAsia="ru-RU"/>
              </w:rPr>
              <w:t xml:space="preserve">официального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 ФНС России уведомления о начале процедуры формирования нового состава Общественного совета при УФНС России по Чувашской Республике </w:t>
            </w:r>
          </w:p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5AAF" w:rsidRPr="00722E47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Не позднее, чем за 3 месяца до истечения полномочий действующего состава членов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09" w:type="dxa"/>
          </w:tcPr>
          <w:p w:rsidR="000D5AAF" w:rsidRPr="007616D7" w:rsidRDefault="000D5AAF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7616D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Общий отдел, </w:t>
            </w:r>
          </w:p>
          <w:p w:rsidR="000D5AAF" w:rsidRPr="00361A55" w:rsidRDefault="000D5AAF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</w:t>
            </w:r>
            <w:r w:rsidRPr="007616D7">
              <w:rPr>
                <w:bCs/>
                <w:sz w:val="24"/>
                <w:szCs w:val="24"/>
                <w:lang w:val="ru-RU" w:eastAsia="ru-RU"/>
              </w:rPr>
              <w:t>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0D5AAF" w:rsidRDefault="000D5AAF" w:rsidP="00B5216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Чувашской Республике  </w:t>
            </w:r>
          </w:p>
        </w:tc>
        <w:tc>
          <w:tcPr>
            <w:tcW w:w="2977" w:type="dxa"/>
          </w:tcPr>
          <w:p w:rsidR="000D5AAF" w:rsidRPr="009E6200" w:rsidRDefault="000D5AAF" w:rsidP="001C7324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109" w:type="dxa"/>
          </w:tcPr>
          <w:p w:rsidR="000D5AAF" w:rsidRPr="00361A55" w:rsidRDefault="000D5AAF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Общий отдел, </w:t>
            </w:r>
          </w:p>
          <w:p w:rsidR="000D5AAF" w:rsidRPr="00361A55" w:rsidRDefault="000D5AAF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</w:t>
            </w:r>
            <w:r w:rsidRPr="007616D7">
              <w:rPr>
                <w:bCs/>
                <w:sz w:val="24"/>
                <w:szCs w:val="24"/>
                <w:lang w:val="ru-RU" w:eastAsia="ru-RU"/>
              </w:rPr>
              <w:t>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0D5AAF" w:rsidRPr="00361A55" w:rsidRDefault="000D5AAF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2F3E03" w:rsidRDefault="000D5AAF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по Чувашской Республике 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2016-2017 годы, утвержденного приказом ФНС России от 12.05.2016 № СА-7-4/321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0D5AAF" w:rsidRPr="002F3E03" w:rsidRDefault="000D5AAF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109" w:type="dxa"/>
          </w:tcPr>
          <w:p w:rsidR="000D5AAF" w:rsidRPr="007616D7" w:rsidRDefault="000D5AAF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616D7">
              <w:rPr>
                <w:sz w:val="24"/>
                <w:szCs w:val="24"/>
                <w:lang w:val="ru-RU" w:eastAsia="ru-RU"/>
              </w:rPr>
              <w:t>Отдел безопасности,</w:t>
            </w:r>
          </w:p>
          <w:p w:rsidR="000D5AAF" w:rsidRPr="007616D7" w:rsidRDefault="000D5AAF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616D7">
              <w:rPr>
                <w:sz w:val="24"/>
                <w:szCs w:val="24"/>
                <w:lang w:val="ru-RU" w:eastAsia="ru-RU"/>
              </w:rPr>
              <w:t xml:space="preserve">отдел кадров, </w:t>
            </w:r>
          </w:p>
          <w:p w:rsidR="000D5AAF" w:rsidRPr="007616D7" w:rsidRDefault="000D5AAF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616D7">
              <w:rPr>
                <w:sz w:val="24"/>
                <w:szCs w:val="24"/>
                <w:lang w:val="ru-RU" w:eastAsia="ru-RU"/>
              </w:rPr>
              <w:t xml:space="preserve">общий отдел  </w:t>
            </w:r>
          </w:p>
          <w:p w:rsidR="000D5AAF" w:rsidRPr="0086305E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7616D7" w:rsidRDefault="000D5AAF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616D7">
              <w:rPr>
                <w:color w:val="000000"/>
                <w:sz w:val="24"/>
                <w:szCs w:val="24"/>
                <w:lang w:val="ru-RU" w:eastAsia="ru-RU"/>
              </w:rPr>
              <w:t>Участие представителей Общественного совета при УФНС России по Чувашской Республике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0D5AAF" w:rsidRPr="00693619" w:rsidTr="00CB663C">
        <w:trPr>
          <w:trHeight w:val="913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9E6200" w:rsidRDefault="000D5AAF" w:rsidP="001C7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Чувашской Республике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нормативных правовых актов ФНС России</w:t>
            </w:r>
          </w:p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0D5AAF" w:rsidRDefault="000D5AAF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D5AAF" w:rsidRPr="00017908" w:rsidRDefault="000D5AAF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CB663C">
        <w:trPr>
          <w:trHeight w:val="593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Чувашской Республике </w:t>
            </w:r>
          </w:p>
        </w:tc>
        <w:tc>
          <w:tcPr>
            <w:tcW w:w="2977" w:type="dxa"/>
          </w:tcPr>
          <w:p w:rsidR="000D5AAF" w:rsidRPr="009E6200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7616D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Общий отдел, </w:t>
            </w:r>
          </w:p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7616D7">
              <w:rPr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7616D7">
              <w:rPr>
                <w:bCs/>
                <w:sz w:val="24"/>
                <w:szCs w:val="24"/>
                <w:lang w:val="ru-RU" w:eastAsia="ru-RU"/>
              </w:rPr>
              <w:t>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1F1401" w:rsidRDefault="000D5AAF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брифингов,  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постоянной основе </w:t>
            </w:r>
          </w:p>
        </w:tc>
        <w:tc>
          <w:tcPr>
            <w:tcW w:w="3109" w:type="dxa"/>
          </w:tcPr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0D5AAF" w:rsidRPr="00693619" w:rsidTr="00CB663C">
        <w:trPr>
          <w:trHeight w:val="903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специалистов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налоговых органов по Чувашской Республике 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D5AAF" w:rsidRPr="0090281A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0D5AAF" w:rsidRPr="00693619" w:rsidTr="004B7513">
        <w:trPr>
          <w:trHeight w:val="1131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</w:p>
        </w:tc>
        <w:tc>
          <w:tcPr>
            <w:tcW w:w="2977" w:type="dxa"/>
          </w:tcPr>
          <w:p w:rsidR="000D5AAF" w:rsidRPr="002C4473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E811B5" w:rsidRDefault="000D5AAF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</w:p>
          <w:p w:rsidR="000D5AAF" w:rsidRPr="002F3E03" w:rsidRDefault="000D5AAF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</w:p>
          <w:p w:rsidR="000D5AAF" w:rsidRPr="000270C5" w:rsidRDefault="000D5AAF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D5AAF" w:rsidRPr="000270C5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Pr="000270C5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D5AAF" w:rsidRPr="00693619" w:rsidTr="004B7513"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D5AAF" w:rsidRPr="007616D7" w:rsidRDefault="000D5AAF" w:rsidP="001C732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  <w:lang w:val="ru-RU" w:eastAsia="ru-RU"/>
              </w:rPr>
            </w:pPr>
            <w:r w:rsidRPr="007616D7">
              <w:rPr>
                <w:i/>
                <w:iCs/>
                <w:sz w:val="24"/>
                <w:szCs w:val="24"/>
                <w:lang w:val="ru-RU" w:eastAsia="ru-RU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AAF" w:rsidRPr="00693619" w:rsidTr="001532A2">
        <w:trPr>
          <w:trHeight w:val="962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сведений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утвержденного приказом ФНС России от 12.05.2016 № СА-7-4/321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D5AAF" w:rsidRPr="00693619" w:rsidTr="00CB663C">
        <w:trPr>
          <w:trHeight w:val="909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D5AAF" w:rsidRDefault="000D5AAF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Актуализация нормативно - 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правовых документов в сфере противодействия коррупции, размещаемых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977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Pr="00017908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D5AAF" w:rsidRPr="00693619" w:rsidTr="00CB663C">
        <w:trPr>
          <w:trHeight w:val="679"/>
        </w:trPr>
        <w:tc>
          <w:tcPr>
            <w:tcW w:w="817" w:type="dxa"/>
          </w:tcPr>
          <w:p w:rsidR="000D5AAF" w:rsidRPr="00601B01" w:rsidRDefault="000D5AAF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D5AAF" w:rsidRPr="00017908" w:rsidRDefault="000D5AAF" w:rsidP="001C7324">
            <w:pPr>
              <w:pStyle w:val="ListParagraph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977" w:type="dxa"/>
          </w:tcPr>
          <w:p w:rsidR="000D5AAF" w:rsidRPr="00444906" w:rsidRDefault="000D5AAF" w:rsidP="001C732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</w:t>
            </w:r>
          </w:p>
          <w:p w:rsidR="000D5AAF" w:rsidRDefault="000D5AAF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D5AAF" w:rsidRDefault="000D5AAF" w:rsidP="002C568D">
      <w:pPr>
        <w:spacing w:after="0" w:line="240" w:lineRule="auto"/>
        <w:jc w:val="center"/>
        <w:rPr>
          <w:lang w:val="en-US" w:eastAsia="ru-RU"/>
        </w:rPr>
      </w:pPr>
    </w:p>
    <w:p w:rsidR="000D5AAF" w:rsidRDefault="000D5AAF" w:rsidP="002C568D">
      <w:pPr>
        <w:spacing w:after="0" w:line="240" w:lineRule="auto"/>
        <w:jc w:val="center"/>
        <w:rPr>
          <w:lang w:val="en-US" w:eastAsia="ru-RU"/>
        </w:rPr>
      </w:pPr>
    </w:p>
    <w:p w:rsidR="000D5AAF" w:rsidRPr="00C052D9" w:rsidRDefault="000D5AAF" w:rsidP="00C052D9">
      <w:pPr>
        <w:spacing w:after="0" w:line="240" w:lineRule="auto"/>
        <w:rPr>
          <w:sz w:val="24"/>
          <w:szCs w:val="24"/>
          <w:lang w:eastAsia="ru-RU"/>
        </w:rPr>
      </w:pPr>
    </w:p>
    <w:sectPr w:rsidR="000D5AAF" w:rsidRPr="00C052D9" w:rsidSect="00A67943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680" w:right="459" w:bottom="68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D7" w:rsidRDefault="007616D7">
      <w:r>
        <w:separator/>
      </w:r>
    </w:p>
  </w:endnote>
  <w:endnote w:type="continuationSeparator" w:id="0">
    <w:p w:rsidR="007616D7" w:rsidRDefault="0076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AF" w:rsidRDefault="00085FC8" w:rsidP="008436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5A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AAF" w:rsidRDefault="000D5AAF" w:rsidP="009D7A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AF" w:rsidRPr="00886224" w:rsidRDefault="000D5AAF" w:rsidP="00886224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AF" w:rsidRPr="00886224" w:rsidRDefault="000D5AAF" w:rsidP="00886224">
    <w:pPr>
      <w:pStyle w:val="a6"/>
      <w:spacing w:after="0" w:line="240" w:lineRule="auto"/>
      <w:rPr>
        <w:color w:val="948A5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D7" w:rsidRDefault="007616D7">
      <w:r>
        <w:separator/>
      </w:r>
    </w:p>
  </w:footnote>
  <w:footnote w:type="continuationSeparator" w:id="0">
    <w:p w:rsidR="007616D7" w:rsidRDefault="0076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AF" w:rsidRPr="00886224" w:rsidRDefault="00085FC8">
    <w:pPr>
      <w:pStyle w:val="ae"/>
      <w:jc w:val="center"/>
      <w:rPr>
        <w:rFonts w:ascii="Times New Roman" w:hAnsi="Times New Roman"/>
      </w:rPr>
    </w:pPr>
    <w:r w:rsidRPr="00886224">
      <w:rPr>
        <w:rFonts w:ascii="Times New Roman" w:hAnsi="Times New Roman"/>
      </w:rPr>
      <w:fldChar w:fldCharType="begin"/>
    </w:r>
    <w:r w:rsidR="000D5AAF" w:rsidRPr="00886224">
      <w:rPr>
        <w:rFonts w:ascii="Times New Roman" w:hAnsi="Times New Roman"/>
      </w:rPr>
      <w:instrText>PAGE   \* MERGEFORMAT</w:instrText>
    </w:r>
    <w:r w:rsidRPr="00886224">
      <w:rPr>
        <w:rFonts w:ascii="Times New Roman" w:hAnsi="Times New Roman"/>
      </w:rPr>
      <w:fldChar w:fldCharType="separate"/>
    </w:r>
    <w:r w:rsidR="00B756F1">
      <w:rPr>
        <w:rFonts w:ascii="Times New Roman" w:hAnsi="Times New Roman"/>
        <w:noProof/>
      </w:rPr>
      <w:t>2</w:t>
    </w:r>
    <w:r w:rsidRPr="00886224">
      <w:rPr>
        <w:rFonts w:ascii="Times New Roman" w:hAnsi="Times New Roman"/>
      </w:rPr>
      <w:fldChar w:fldCharType="end"/>
    </w:r>
  </w:p>
  <w:p w:rsidR="000D5AAF" w:rsidRDefault="000D5A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C8"/>
    <w:rsid w:val="00000EE4"/>
    <w:rsid w:val="00003112"/>
    <w:rsid w:val="00005EDA"/>
    <w:rsid w:val="000100DE"/>
    <w:rsid w:val="0001190D"/>
    <w:rsid w:val="00013FF8"/>
    <w:rsid w:val="00017908"/>
    <w:rsid w:val="0002099C"/>
    <w:rsid w:val="00020CAB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5D9B"/>
    <w:rsid w:val="00085FC8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D06F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EC9"/>
    <w:rsid w:val="000F7035"/>
    <w:rsid w:val="000F77EA"/>
    <w:rsid w:val="001004AE"/>
    <w:rsid w:val="00104F35"/>
    <w:rsid w:val="00106B2B"/>
    <w:rsid w:val="00106D9D"/>
    <w:rsid w:val="00113DB5"/>
    <w:rsid w:val="001141D4"/>
    <w:rsid w:val="00115CDC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532A2"/>
    <w:rsid w:val="00153A95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72BBC"/>
    <w:rsid w:val="0017335A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EC1"/>
    <w:rsid w:val="001C2510"/>
    <w:rsid w:val="001C37DA"/>
    <w:rsid w:val="001C5F2D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3D2B"/>
    <w:rsid w:val="002774E5"/>
    <w:rsid w:val="00281276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03A6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455C"/>
    <w:rsid w:val="0034283E"/>
    <w:rsid w:val="0034732D"/>
    <w:rsid w:val="00350A2C"/>
    <w:rsid w:val="00350E2E"/>
    <w:rsid w:val="0035210C"/>
    <w:rsid w:val="00353EE5"/>
    <w:rsid w:val="00353EF3"/>
    <w:rsid w:val="00354AE2"/>
    <w:rsid w:val="00361A55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15F3"/>
    <w:rsid w:val="003B4685"/>
    <w:rsid w:val="003B5623"/>
    <w:rsid w:val="003B63A3"/>
    <w:rsid w:val="003B684A"/>
    <w:rsid w:val="003C2615"/>
    <w:rsid w:val="003C33EF"/>
    <w:rsid w:val="003C788A"/>
    <w:rsid w:val="003D0CD7"/>
    <w:rsid w:val="003D1063"/>
    <w:rsid w:val="003D3CA6"/>
    <w:rsid w:val="003D5EC1"/>
    <w:rsid w:val="003D5FA4"/>
    <w:rsid w:val="003D75EB"/>
    <w:rsid w:val="003E00A5"/>
    <w:rsid w:val="003F0E3D"/>
    <w:rsid w:val="003F614E"/>
    <w:rsid w:val="003F759E"/>
    <w:rsid w:val="00400875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2F98"/>
    <w:rsid w:val="00480895"/>
    <w:rsid w:val="0048094C"/>
    <w:rsid w:val="00480E45"/>
    <w:rsid w:val="004829F3"/>
    <w:rsid w:val="00483E2A"/>
    <w:rsid w:val="004840BC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BE"/>
    <w:rsid w:val="004B1943"/>
    <w:rsid w:val="004B27A2"/>
    <w:rsid w:val="004B56D0"/>
    <w:rsid w:val="004B5BAF"/>
    <w:rsid w:val="004B7513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550C"/>
    <w:rsid w:val="005316BA"/>
    <w:rsid w:val="0053660B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0B65"/>
    <w:rsid w:val="00572A50"/>
    <w:rsid w:val="005775CB"/>
    <w:rsid w:val="00580B99"/>
    <w:rsid w:val="005909C2"/>
    <w:rsid w:val="00591695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E6B72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1CC"/>
    <w:rsid w:val="00611AA8"/>
    <w:rsid w:val="0062336C"/>
    <w:rsid w:val="006239EB"/>
    <w:rsid w:val="00623E1D"/>
    <w:rsid w:val="00630BA3"/>
    <w:rsid w:val="00632430"/>
    <w:rsid w:val="00633BBA"/>
    <w:rsid w:val="006349C0"/>
    <w:rsid w:val="00634AC3"/>
    <w:rsid w:val="006371F5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20CE"/>
    <w:rsid w:val="0066456B"/>
    <w:rsid w:val="00664BFA"/>
    <w:rsid w:val="00666238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07B1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5D27"/>
    <w:rsid w:val="006E6A8C"/>
    <w:rsid w:val="006F4E64"/>
    <w:rsid w:val="0070236A"/>
    <w:rsid w:val="00704DF0"/>
    <w:rsid w:val="007052E7"/>
    <w:rsid w:val="0070629A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202AF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57DAE"/>
    <w:rsid w:val="00760104"/>
    <w:rsid w:val="007616D7"/>
    <w:rsid w:val="00764E95"/>
    <w:rsid w:val="00765331"/>
    <w:rsid w:val="0076597C"/>
    <w:rsid w:val="00766073"/>
    <w:rsid w:val="00773E53"/>
    <w:rsid w:val="00781536"/>
    <w:rsid w:val="0078701E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3BDD"/>
    <w:rsid w:val="007F7FE7"/>
    <w:rsid w:val="00800202"/>
    <w:rsid w:val="008005BC"/>
    <w:rsid w:val="00803257"/>
    <w:rsid w:val="00806FC7"/>
    <w:rsid w:val="008146F2"/>
    <w:rsid w:val="0082291D"/>
    <w:rsid w:val="00824A2C"/>
    <w:rsid w:val="00824D4C"/>
    <w:rsid w:val="00825D37"/>
    <w:rsid w:val="00826E67"/>
    <w:rsid w:val="00830D6D"/>
    <w:rsid w:val="00831BA2"/>
    <w:rsid w:val="008323BD"/>
    <w:rsid w:val="00832988"/>
    <w:rsid w:val="008364B5"/>
    <w:rsid w:val="0083781E"/>
    <w:rsid w:val="00840A4C"/>
    <w:rsid w:val="00841E93"/>
    <w:rsid w:val="0084363E"/>
    <w:rsid w:val="00846D5F"/>
    <w:rsid w:val="00846FB6"/>
    <w:rsid w:val="00847AD9"/>
    <w:rsid w:val="00853A21"/>
    <w:rsid w:val="00856578"/>
    <w:rsid w:val="00856DE6"/>
    <w:rsid w:val="0086305E"/>
    <w:rsid w:val="008635AA"/>
    <w:rsid w:val="0086786E"/>
    <w:rsid w:val="00870A37"/>
    <w:rsid w:val="0087109D"/>
    <w:rsid w:val="00873A7B"/>
    <w:rsid w:val="00874BB0"/>
    <w:rsid w:val="00876B12"/>
    <w:rsid w:val="00882AD4"/>
    <w:rsid w:val="008847CD"/>
    <w:rsid w:val="00886224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281A"/>
    <w:rsid w:val="0090416F"/>
    <w:rsid w:val="00907EF3"/>
    <w:rsid w:val="009111DC"/>
    <w:rsid w:val="00914589"/>
    <w:rsid w:val="0091704F"/>
    <w:rsid w:val="009175DC"/>
    <w:rsid w:val="00920313"/>
    <w:rsid w:val="009204A5"/>
    <w:rsid w:val="0092070E"/>
    <w:rsid w:val="0092186A"/>
    <w:rsid w:val="00925D15"/>
    <w:rsid w:val="009300A2"/>
    <w:rsid w:val="00932463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4A59"/>
    <w:rsid w:val="0099676C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2F1E"/>
    <w:rsid w:val="00A22FBD"/>
    <w:rsid w:val="00A235A7"/>
    <w:rsid w:val="00A24635"/>
    <w:rsid w:val="00A3199E"/>
    <w:rsid w:val="00A346DC"/>
    <w:rsid w:val="00A35C8A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B004E0"/>
    <w:rsid w:val="00B02402"/>
    <w:rsid w:val="00B027E3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756F1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9A7"/>
    <w:rsid w:val="00BB1221"/>
    <w:rsid w:val="00BB20E0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52D9"/>
    <w:rsid w:val="00C06CF4"/>
    <w:rsid w:val="00C12C78"/>
    <w:rsid w:val="00C13318"/>
    <w:rsid w:val="00C13CB6"/>
    <w:rsid w:val="00C16BA8"/>
    <w:rsid w:val="00C1719E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4D58"/>
    <w:rsid w:val="00C7106B"/>
    <w:rsid w:val="00C751FA"/>
    <w:rsid w:val="00C755F6"/>
    <w:rsid w:val="00C761BA"/>
    <w:rsid w:val="00C76AE8"/>
    <w:rsid w:val="00C76CFE"/>
    <w:rsid w:val="00C81EE7"/>
    <w:rsid w:val="00C84073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551"/>
    <w:rsid w:val="00CB663C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7C9"/>
    <w:rsid w:val="00CD4B13"/>
    <w:rsid w:val="00CE2B70"/>
    <w:rsid w:val="00CE504E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D00284"/>
    <w:rsid w:val="00D002B6"/>
    <w:rsid w:val="00D0218D"/>
    <w:rsid w:val="00D028F2"/>
    <w:rsid w:val="00D06342"/>
    <w:rsid w:val="00D12C61"/>
    <w:rsid w:val="00D217FC"/>
    <w:rsid w:val="00D24A48"/>
    <w:rsid w:val="00D25193"/>
    <w:rsid w:val="00D26783"/>
    <w:rsid w:val="00D326D4"/>
    <w:rsid w:val="00D3338B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F68"/>
    <w:rsid w:val="00DB1E1D"/>
    <w:rsid w:val="00DB2219"/>
    <w:rsid w:val="00DB3B09"/>
    <w:rsid w:val="00DB3F42"/>
    <w:rsid w:val="00DB5A22"/>
    <w:rsid w:val="00DC1E14"/>
    <w:rsid w:val="00DC6362"/>
    <w:rsid w:val="00DC7BC2"/>
    <w:rsid w:val="00DC7DB8"/>
    <w:rsid w:val="00DD1BA4"/>
    <w:rsid w:val="00DD34FD"/>
    <w:rsid w:val="00DD63CB"/>
    <w:rsid w:val="00DD7D7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DF7FE1"/>
    <w:rsid w:val="00E00191"/>
    <w:rsid w:val="00E05C8D"/>
    <w:rsid w:val="00E063DE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11B5"/>
    <w:rsid w:val="00E863D4"/>
    <w:rsid w:val="00E879F4"/>
    <w:rsid w:val="00E970F9"/>
    <w:rsid w:val="00EA2C5C"/>
    <w:rsid w:val="00EB01EA"/>
    <w:rsid w:val="00EB0A14"/>
    <w:rsid w:val="00EB53BD"/>
    <w:rsid w:val="00EC2729"/>
    <w:rsid w:val="00EC289B"/>
    <w:rsid w:val="00EC2E9D"/>
    <w:rsid w:val="00EC4D6E"/>
    <w:rsid w:val="00EC52AA"/>
    <w:rsid w:val="00EC531B"/>
    <w:rsid w:val="00EC714E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F00042"/>
    <w:rsid w:val="00F00232"/>
    <w:rsid w:val="00F01DC8"/>
    <w:rsid w:val="00F02AF8"/>
    <w:rsid w:val="00F0307A"/>
    <w:rsid w:val="00F0773E"/>
    <w:rsid w:val="00F17DA1"/>
    <w:rsid w:val="00F214DC"/>
    <w:rsid w:val="00F21F0C"/>
    <w:rsid w:val="00F227DF"/>
    <w:rsid w:val="00F228D8"/>
    <w:rsid w:val="00F23A2B"/>
    <w:rsid w:val="00F27212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6461E"/>
    <w:rsid w:val="00F65421"/>
    <w:rsid w:val="00F66676"/>
    <w:rsid w:val="00F71402"/>
    <w:rsid w:val="00F8406A"/>
    <w:rsid w:val="00F85461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445"/>
    <w:rsid w:val="00FA7DB4"/>
    <w:rsid w:val="00FB17AE"/>
    <w:rsid w:val="00FB1FC4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/>
    </w:rPr>
  </w:style>
  <w:style w:type="character" w:customStyle="1" w:styleId="2">
    <w:name w:val="Основной текст2"/>
    <w:uiPriority w:val="99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1553</Words>
  <Characters>8858</Characters>
  <Application>Microsoft Office Word</Application>
  <DocSecurity>0</DocSecurity>
  <Lines>73</Lines>
  <Paragraphs>20</Paragraphs>
  <ScaleCrop>false</ScaleCrop>
  <Company>AC Forum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dc:description/>
  <cp:lastModifiedBy>11mav</cp:lastModifiedBy>
  <cp:revision>26</cp:revision>
  <cp:lastPrinted>2018-02-14T10:49:00Z</cp:lastPrinted>
  <dcterms:created xsi:type="dcterms:W3CDTF">2018-02-08T09:10:00Z</dcterms:created>
  <dcterms:modified xsi:type="dcterms:W3CDTF">2018-02-19T10:49:00Z</dcterms:modified>
</cp:coreProperties>
</file>