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0A" w:rsidRDefault="003A650A" w:rsidP="003A650A">
      <w:pPr>
        <w:pStyle w:val="ConsPlusNormal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973"/>
        <w:gridCol w:w="2041"/>
      </w:tblGrid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50A" w:rsidRDefault="003A650A">
            <w:pPr>
              <w:pStyle w:val="ConsPlusNormal"/>
              <w:jc w:val="center"/>
            </w:pPr>
            <w: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50A" w:rsidRDefault="003A650A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До 300000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0,1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300000 руб. до 500000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0,2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500000 руб. до 600000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0,31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600000 руб. до 700000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0,4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700000 руб. до 800000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0,5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800000 руб. до 900000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0,6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900000 руб. до 1000000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0,7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1000000 руб. до 2000000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0,8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2000000 руб. до 3000000 руб.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1,0 процента</w:t>
            </w:r>
          </w:p>
        </w:tc>
      </w:tr>
      <w:tr w:rsidR="003A65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</w:pPr>
            <w:r>
              <w:t>Свыше 3000000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0A" w:rsidRDefault="003A650A">
            <w:pPr>
              <w:pStyle w:val="ConsPlusNormal"/>
              <w:jc w:val="center"/>
            </w:pPr>
            <w:r>
              <w:t>1,5 процента</w:t>
            </w:r>
          </w:p>
        </w:tc>
      </w:tr>
    </w:tbl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C4"/>
    <w:rsid w:val="003A650A"/>
    <w:rsid w:val="008A21B1"/>
    <w:rsid w:val="00B0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2015-01-27T14:35:00Z</dcterms:created>
  <dcterms:modified xsi:type="dcterms:W3CDTF">2015-01-27T14:35:00Z</dcterms:modified>
</cp:coreProperties>
</file>