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47" w:rsidRDefault="00AC7647" w:rsidP="00AC7647">
      <w:pPr>
        <w:tabs>
          <w:tab w:val="left" w:pos="6480"/>
        </w:tabs>
        <w:ind w:right="125"/>
        <w:jc w:val="right"/>
        <w:rPr>
          <w:snapToGrid/>
          <w:szCs w:val="26"/>
        </w:rPr>
      </w:pPr>
      <w:bookmarkStart w:id="0" w:name="_GoBack"/>
      <w:bookmarkEnd w:id="0"/>
      <w:r>
        <w:rPr>
          <w:snapToGrid/>
          <w:szCs w:val="26"/>
        </w:rPr>
        <w:t xml:space="preserve">         К приказу УФНС России  </w:t>
      </w:r>
    </w:p>
    <w:p w:rsidR="00AC7647" w:rsidRDefault="00AC7647" w:rsidP="00AC7647">
      <w:pPr>
        <w:tabs>
          <w:tab w:val="left" w:pos="6480"/>
        </w:tabs>
        <w:ind w:right="125"/>
        <w:jc w:val="right"/>
        <w:rPr>
          <w:snapToGrid/>
          <w:szCs w:val="26"/>
        </w:rPr>
      </w:pPr>
      <w:r>
        <w:rPr>
          <w:snapToGrid/>
          <w:szCs w:val="26"/>
        </w:rPr>
        <w:t xml:space="preserve">   по Астраханской области</w:t>
      </w:r>
    </w:p>
    <w:p w:rsidR="00AC7647" w:rsidRPr="00AC7647" w:rsidRDefault="00AC7647" w:rsidP="00AC7647">
      <w:pPr>
        <w:pStyle w:val="2"/>
        <w:spacing w:after="0" w:line="240" w:lineRule="auto"/>
        <w:jc w:val="right"/>
      </w:pPr>
      <w:r>
        <w:t xml:space="preserve">от </w:t>
      </w:r>
      <w:r w:rsidRPr="00AC7647">
        <w:rPr>
          <w:u w:val="single"/>
        </w:rPr>
        <w:t>09.01.2020 № 01-04/003</w:t>
      </w:r>
    </w:p>
    <w:p w:rsidR="00AC7647" w:rsidRDefault="00AC7647" w:rsidP="00AC7647">
      <w:pPr>
        <w:pStyle w:val="2"/>
        <w:spacing w:after="0" w:line="240" w:lineRule="auto"/>
        <w:ind w:left="0" w:firstLine="7797"/>
        <w:jc w:val="both"/>
        <w:rPr>
          <w:sz w:val="28"/>
          <w:szCs w:val="28"/>
        </w:rPr>
      </w:pPr>
    </w:p>
    <w:p w:rsidR="00AC7647" w:rsidRDefault="00AC7647" w:rsidP="00AC7647">
      <w:pPr>
        <w:pStyle w:val="2"/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 xml:space="preserve">Положение об учетной политике  Управления Федеральной налоговой службы по Астраханской области </w:t>
      </w:r>
    </w:p>
    <w:p w:rsidR="00AC7647" w:rsidRDefault="00AC7647" w:rsidP="00AC7647">
      <w:pPr>
        <w:pStyle w:val="2"/>
        <w:spacing w:after="0" w:line="240" w:lineRule="auto"/>
        <w:ind w:left="0" w:firstLine="709"/>
        <w:jc w:val="center"/>
        <w:rPr>
          <w:b/>
        </w:rPr>
      </w:pPr>
    </w:p>
    <w:p w:rsidR="00AC7647" w:rsidRDefault="00AC7647" w:rsidP="00AC7647">
      <w:pPr>
        <w:pStyle w:val="2"/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>1. Организационные положения</w:t>
      </w:r>
    </w:p>
    <w:p w:rsidR="00AC7647" w:rsidRDefault="00AC7647" w:rsidP="00AC764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C7647" w:rsidRDefault="00AC7647" w:rsidP="00AC7647">
      <w:pPr>
        <w:autoSpaceDE w:val="0"/>
        <w:autoSpaceDN w:val="0"/>
        <w:adjustRightInd w:val="0"/>
        <w:ind w:firstLine="709"/>
        <w:jc w:val="both"/>
      </w:pPr>
      <w:r>
        <w:t>Ведение бюджетного учета в УФНС России по Астраханской области (далее - Управление) дополняется следующими нормативными документами, вступающими в действие с 01.01.2020: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федеральным стандартом "Об утверждении федерального стандарта бухгалтерского учета для организаций государственного сектора "Запасы", утвержденного приказом Минфина России от 07.12.2018 N 256н (далее – Федеральный стандарт № 256н); 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федеральным стандартом "Об утверждении федерального стандарта бухгалтерского учета для организаций государственного сектора "Концессионные соглашения", утвержденного приказом Минфина России от 29.06.2018 N 146н (далее – Федеральный стандарт № 146н);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федеральным стандартом "Об утверждении федерального стандарта бухгалтерского учета для организаций государственного сектора "Долгосрочные договоры", утвержденного приказом Минфина России от 29.06.2018 N 145н (далее – Федеральный стандарт № 145н)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федеральным стандартом "Об утверждении федерального стандарта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утвержденного приказом Минфина России от 30.05.2018 N 124н (далее – Федеральный стандарт № 124н);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- федеральным стандартом "Об утверждении федерального стандарта бухгалтерского учета для организаций государственного сектора "Бюджетная информация в бухгалтерской (финансовой) отчетности", утвержденного приказом Минфина России от 28.02.2018 N 37н (далее – Федеральный стандарт № 37н);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федеральным стандартом "Об утверждении федерального стандарта бухгалтерского учета для организаций государственного сектора "Непроизведенные активы", утвержденного приказом Минфина России от 28.02.2018 N 34н (далее – Федеральный стандарт № 34н);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zCs w:val="26"/>
        </w:rPr>
      </w:pPr>
      <w:r>
        <w:rPr>
          <w:snapToGrid/>
          <w:szCs w:val="26"/>
        </w:rPr>
        <w:t>- федеральным стандартом "Об утверждении федерального стандарта бухгалтерского учета для организаций государственного сектора "Информация о связанных сторонах", утвержденного приказом Минфина России от 30.12.2017 N 277н (далее – Федеральный стандарт № 277н).</w:t>
      </w:r>
    </w:p>
    <w:p w:rsidR="00AC7647" w:rsidRDefault="00AC7647" w:rsidP="00AC764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AC7647" w:rsidRDefault="00AC7647" w:rsidP="00AC764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Рабочий План счетов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3. Учет отдельных видов имущества и обязательств</w:t>
      </w:r>
    </w:p>
    <w:p w:rsidR="00AC7647" w:rsidRDefault="00AC7647" w:rsidP="00AC7647">
      <w:pPr>
        <w:autoSpaceDE w:val="0"/>
        <w:autoSpaceDN w:val="0"/>
        <w:adjustRightInd w:val="0"/>
        <w:spacing w:line="360" w:lineRule="auto"/>
        <w:ind w:firstLine="540"/>
        <w:jc w:val="center"/>
        <w:outlineLvl w:val="0"/>
        <w:rPr>
          <w:b/>
          <w:szCs w:val="26"/>
        </w:rPr>
      </w:pPr>
      <w:r>
        <w:rPr>
          <w:b/>
          <w:szCs w:val="26"/>
        </w:rPr>
        <w:t>3.1. Учет основных средств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дополнить следующими пунктами.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3.1.28. Учет имущества и обязательств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Федеральным стандартом № 146н;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3.1.5. Учет доходов и расходов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Федеральным стандартом № 146н.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center"/>
        <w:rPr>
          <w:b/>
          <w:szCs w:val="26"/>
        </w:rPr>
      </w:pPr>
    </w:p>
    <w:p w:rsidR="00AC7647" w:rsidRDefault="00AC7647" w:rsidP="00AC7647">
      <w:pPr>
        <w:pStyle w:val="a6"/>
        <w:tabs>
          <w:tab w:val="left" w:pos="360"/>
          <w:tab w:val="left" w:pos="720"/>
        </w:tabs>
        <w:jc w:val="center"/>
        <w:rPr>
          <w:b/>
          <w:szCs w:val="26"/>
        </w:rPr>
      </w:pPr>
      <w:r>
        <w:rPr>
          <w:b/>
          <w:szCs w:val="26"/>
        </w:rPr>
        <w:t>3.2. Непроизведенные активы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/>
        <w:jc w:val="both"/>
        <w:rPr>
          <w:szCs w:val="26"/>
        </w:rPr>
      </w:pPr>
      <w:r>
        <w:rPr>
          <w:szCs w:val="26"/>
        </w:rPr>
        <w:t xml:space="preserve">        Раздел дополнить следующими пунктами.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/>
        <w:jc w:val="both"/>
        <w:rPr>
          <w:snapToGrid/>
          <w:szCs w:val="26"/>
        </w:rPr>
      </w:pPr>
      <w:r>
        <w:rPr>
          <w:snapToGrid/>
          <w:szCs w:val="26"/>
        </w:rPr>
        <w:lastRenderedPageBreak/>
        <w:t xml:space="preserve">        3.2.2. </w:t>
      </w:r>
      <w:hyperlink r:id="rId7" w:history="1">
        <w:r>
          <w:rPr>
            <w:snapToGrid/>
            <w:szCs w:val="26"/>
          </w:rPr>
          <w:t>Переоценка</w:t>
        </w:r>
      </w:hyperlink>
      <w:r>
        <w:rPr>
          <w:snapToGrid/>
          <w:szCs w:val="26"/>
        </w:rPr>
        <w:t xml:space="preserve"> до кадастровой стоимости объектов, относящихся к группе "Земля (земельные участки)", отражаемые на балансе и внесенные в государственный кадастр недвижимости должна пройти в соответствии с Федеральным стандартом № 37н (далее – ФС № 37н).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Если кадастровая стоимость не определена, объект будет </w:t>
      </w:r>
      <w:hyperlink r:id="rId8" w:history="1">
        <w:proofErr w:type="gramStart"/>
        <w:r>
          <w:rPr>
            <w:snapToGrid/>
            <w:szCs w:val="26"/>
          </w:rPr>
          <w:t>учиты</w:t>
        </w:r>
      </w:hyperlink>
      <w:r>
        <w:rPr>
          <w:snapToGrid/>
          <w:szCs w:val="26"/>
        </w:rPr>
        <w:t>ваться</w:t>
      </w:r>
      <w:proofErr w:type="gramEnd"/>
      <w:r>
        <w:rPr>
          <w:snapToGrid/>
          <w:szCs w:val="26"/>
        </w:rPr>
        <w:t xml:space="preserve"> по балансовой стоимости до момента проведения кадастровой оценки.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При отсутствии балансовой стоимости </w:t>
      </w:r>
      <w:hyperlink r:id="rId9" w:history="1">
        <w:r>
          <w:rPr>
            <w:snapToGrid/>
            <w:szCs w:val="26"/>
          </w:rPr>
          <w:t>нужно будет</w:t>
        </w:r>
      </w:hyperlink>
      <w:r>
        <w:rPr>
          <w:snapToGrid/>
          <w:szCs w:val="26"/>
        </w:rPr>
        <w:t xml:space="preserve"> рассчитать условную оценку: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исходя из кадастровой стоимости аналогичного земельного участка, внесенного в государственный кадастр недвижимости.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3.2.3. Объекты непроизведенных активов будут учитываться на счете </w:t>
      </w:r>
      <w:hyperlink r:id="rId10" w:history="1">
        <w:r>
          <w:rPr>
            <w:snapToGrid/>
            <w:szCs w:val="26"/>
          </w:rPr>
          <w:t>103 00</w:t>
        </w:r>
      </w:hyperlink>
      <w:r>
        <w:rPr>
          <w:snapToGrid/>
          <w:szCs w:val="26"/>
        </w:rPr>
        <w:t xml:space="preserve">, если соблюдаются </w:t>
      </w:r>
      <w:hyperlink r:id="rId11" w:history="1">
        <w:r>
          <w:rPr>
            <w:snapToGrid/>
            <w:szCs w:val="26"/>
          </w:rPr>
          <w:t>два условия</w:t>
        </w:r>
      </w:hyperlink>
      <w:r>
        <w:rPr>
          <w:snapToGrid/>
          <w:szCs w:val="26"/>
        </w:rPr>
        <w:t>: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можно спрогнозировать, что используемый объект будет приносить экономическую выгоду или иметь полезный потенциал;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можно надежно оценить первоначальную стоимость объекта.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3.2.4. Те объекты, которые не приносят выгоды, не будут ее приносить в дальнейшем и не имеют полезного потенциала, учет будет вестись на </w:t>
      </w:r>
      <w:proofErr w:type="spellStart"/>
      <w:r>
        <w:rPr>
          <w:snapToGrid/>
          <w:szCs w:val="26"/>
        </w:rPr>
        <w:t>забалансовых</w:t>
      </w:r>
      <w:proofErr w:type="spellEnd"/>
      <w:r>
        <w:rPr>
          <w:snapToGrid/>
          <w:szCs w:val="26"/>
        </w:rPr>
        <w:t xml:space="preserve"> счетах.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Информация о таких объектах  будет </w:t>
      </w:r>
      <w:hyperlink r:id="rId12" w:history="1">
        <w:proofErr w:type="gramStart"/>
        <w:r>
          <w:rPr>
            <w:snapToGrid/>
            <w:szCs w:val="26"/>
          </w:rPr>
          <w:t>раскрыт</w:t>
        </w:r>
        <w:proofErr w:type="gramEnd"/>
      </w:hyperlink>
      <w:r>
        <w:rPr>
          <w:snapToGrid/>
          <w:szCs w:val="26"/>
        </w:rPr>
        <w:t>а в пояснениях к отчетности.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Объекты непроизведенных активов </w:t>
      </w:r>
      <w:hyperlink r:id="rId13" w:history="1">
        <w:r>
          <w:rPr>
            <w:snapToGrid/>
            <w:szCs w:val="26"/>
          </w:rPr>
          <w:t xml:space="preserve">будут </w:t>
        </w:r>
        <w:proofErr w:type="gramStart"/>
        <w:r>
          <w:rPr>
            <w:snapToGrid/>
            <w:szCs w:val="26"/>
          </w:rPr>
          <w:t>учитывать</w:t>
        </w:r>
      </w:hyperlink>
      <w:r>
        <w:rPr>
          <w:snapToGrid/>
          <w:szCs w:val="26"/>
        </w:rPr>
        <w:t>ся</w:t>
      </w:r>
      <w:proofErr w:type="gramEnd"/>
      <w:r>
        <w:rPr>
          <w:snapToGrid/>
          <w:szCs w:val="26"/>
        </w:rPr>
        <w:t xml:space="preserve"> по первоначальной стоимости, способы определения которой отличаются в зависимости от особенностей актива.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bCs/>
          <w:snapToGrid/>
          <w:szCs w:val="26"/>
        </w:rPr>
        <w:t>При первом вовлечении актива в оборот</w:t>
      </w:r>
      <w:r>
        <w:rPr>
          <w:snapToGrid/>
          <w:szCs w:val="26"/>
        </w:rPr>
        <w:t xml:space="preserve"> потребуется использовать справедливую стоимость.</w:t>
      </w:r>
    </w:p>
    <w:p w:rsidR="00AC7647" w:rsidRDefault="00333775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hyperlink r:id="rId14" w:history="1">
        <w:r w:rsidR="00AC7647">
          <w:rPr>
            <w:snapToGrid/>
            <w:szCs w:val="26"/>
          </w:rPr>
          <w:t>Не определяется</w:t>
        </w:r>
      </w:hyperlink>
      <w:r w:rsidR="00AC7647">
        <w:rPr>
          <w:snapToGrid/>
          <w:szCs w:val="26"/>
        </w:rPr>
        <w:t xml:space="preserve"> стоимость земельных участков, на которые разграничена государственная собственность и которые не внесены в государственный кадастр недвижимости, не закреплены за учреждением на праве постоянного (</w:t>
      </w:r>
      <w:proofErr w:type="gramStart"/>
      <w:r w:rsidR="00AC7647">
        <w:rPr>
          <w:snapToGrid/>
          <w:szCs w:val="26"/>
        </w:rPr>
        <w:t xml:space="preserve">бессрочного) </w:t>
      </w:r>
      <w:proofErr w:type="gramEnd"/>
      <w:r w:rsidR="00AC7647">
        <w:rPr>
          <w:snapToGrid/>
          <w:szCs w:val="26"/>
        </w:rPr>
        <w:t xml:space="preserve">пользования, не используются для извлечения экономических выгод или полезного потенциала.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Учет таких участков ведут на </w:t>
      </w:r>
      <w:proofErr w:type="spellStart"/>
      <w:r>
        <w:rPr>
          <w:snapToGrid/>
          <w:szCs w:val="26"/>
        </w:rPr>
        <w:t>забалансовых</w:t>
      </w:r>
      <w:proofErr w:type="spellEnd"/>
      <w:r>
        <w:rPr>
          <w:snapToGrid/>
          <w:szCs w:val="26"/>
        </w:rPr>
        <w:t xml:space="preserve"> счетах в условной оценке: один объект - один рубль. Информацию о них будет </w:t>
      </w:r>
      <w:hyperlink r:id="rId15" w:history="1">
        <w:proofErr w:type="gramStart"/>
        <w:r>
          <w:rPr>
            <w:snapToGrid/>
            <w:szCs w:val="26"/>
          </w:rPr>
          <w:t>раскрыт</w:t>
        </w:r>
        <w:proofErr w:type="gramEnd"/>
      </w:hyperlink>
      <w:r>
        <w:rPr>
          <w:snapToGrid/>
          <w:szCs w:val="26"/>
        </w:rPr>
        <w:t>а в пояснениях к отчетности.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bCs/>
          <w:iCs/>
          <w:snapToGrid/>
          <w:szCs w:val="26"/>
        </w:rPr>
        <w:t>Для земельных участков</w:t>
      </w:r>
      <w:r>
        <w:rPr>
          <w:snapToGrid/>
          <w:szCs w:val="26"/>
        </w:rPr>
        <w:t xml:space="preserve"> стоимость определяется на основании кадастровой оценки.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3.2.5. Затраты на реконструкцию, модернизацию (поверхностное улучшение земель, мелиорацию, ирригацию, спрямление русла, иные аналогичные мероприятия), а также на замещение объектов непроизведенных активов </w:t>
      </w:r>
      <w:hyperlink r:id="rId16" w:history="1">
        <w:r>
          <w:rPr>
            <w:rFonts w:ascii="Times New Roman" w:hAnsi="Times New Roman" w:cs="Times New Roman"/>
            <w:sz w:val="26"/>
            <w:szCs w:val="26"/>
          </w:rPr>
          <w:t>будут отражать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составе расходов текущего периода. То есть такие затраты не будут увеличивать первоначальную стоимость, как это происходит </w:t>
      </w:r>
      <w:hyperlink r:id="rId17" w:history="1">
        <w:r>
          <w:rPr>
            <w:rFonts w:ascii="Times New Roman" w:hAnsi="Times New Roman" w:cs="Times New Roman"/>
            <w:sz w:val="26"/>
            <w:szCs w:val="26"/>
          </w:rPr>
          <w:t>сейчас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Переоценивать активы будут до справедливой стоимости. </w:t>
      </w:r>
    </w:p>
    <w:p w:rsidR="00AC7647" w:rsidRDefault="00333775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AC7647">
          <w:rPr>
            <w:rFonts w:ascii="Times New Roman" w:hAnsi="Times New Roman" w:cs="Times New Roman"/>
            <w:sz w:val="26"/>
            <w:szCs w:val="26"/>
          </w:rPr>
          <w:t>Для земельных участков</w:t>
        </w:r>
      </w:hyperlink>
      <w:r w:rsidR="00AC7647">
        <w:rPr>
          <w:rFonts w:ascii="Times New Roman" w:hAnsi="Times New Roman" w:cs="Times New Roman"/>
          <w:sz w:val="26"/>
          <w:szCs w:val="26"/>
        </w:rPr>
        <w:t xml:space="preserve"> ею станет кадастровая стоимость, а для остальных активов - </w:t>
      </w:r>
      <w:hyperlink r:id="rId19" w:history="1">
        <w:r w:rsidR="00AC7647">
          <w:rPr>
            <w:rFonts w:ascii="Times New Roman" w:hAnsi="Times New Roman" w:cs="Times New Roman"/>
            <w:sz w:val="26"/>
            <w:szCs w:val="26"/>
          </w:rPr>
          <w:t>сумма</w:t>
        </w:r>
      </w:hyperlink>
      <w:r w:rsidR="00AC7647">
        <w:rPr>
          <w:rFonts w:ascii="Times New Roman" w:hAnsi="Times New Roman" w:cs="Times New Roman"/>
          <w:sz w:val="26"/>
          <w:szCs w:val="26"/>
        </w:rPr>
        <w:t xml:space="preserve"> дисконтированных будущих денежных поступлений, связанных с пользованием объектами, без учета льгот.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Сумму переоценки нужно отнести на финансовый результат в качестве доходов или расходов текущего периода. Переоценку </w:t>
      </w:r>
      <w:hyperlink r:id="rId20" w:history="1">
        <w:r>
          <w:rPr>
            <w:rFonts w:ascii="Times New Roman" w:hAnsi="Times New Roman" w:cs="Times New Roman"/>
            <w:sz w:val="26"/>
            <w:szCs w:val="26"/>
          </w:rPr>
          <w:t>нужно будет проводить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каждый год.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3.2.6. Непроизведенный актив может быть </w:t>
      </w:r>
      <w:hyperlink r:id="rId21" w:history="1">
        <w:r>
          <w:rPr>
            <w:rFonts w:ascii="Times New Roman" w:hAnsi="Times New Roman" w:cs="Times New Roman"/>
            <w:sz w:val="26"/>
            <w:szCs w:val="26"/>
          </w:rPr>
          <w:t>списан</w:t>
        </w:r>
      </w:hyperlink>
      <w:r>
        <w:rPr>
          <w:rFonts w:ascii="Times New Roman" w:hAnsi="Times New Roman" w:cs="Times New Roman"/>
          <w:sz w:val="26"/>
          <w:szCs w:val="26"/>
        </w:rPr>
        <w:t>, если:</w:t>
      </w:r>
    </w:p>
    <w:p w:rsidR="00AC7647" w:rsidRDefault="00AC7647" w:rsidP="00AC7647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прекращены имущественные права, в том числе, при продаже, безвозмездной передаче (дарении);</w:t>
      </w:r>
    </w:p>
    <w:p w:rsidR="00AC7647" w:rsidRDefault="00AC7647" w:rsidP="00AC7647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объект больше не используется по назначению из-за порчи, изменения качественных характеристик и др.;</w:t>
      </w:r>
    </w:p>
    <w:p w:rsidR="00AC7647" w:rsidRDefault="00AC7647" w:rsidP="00AC76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актив передан другой организации госсектора;</w:t>
      </w:r>
    </w:p>
    <w:p w:rsidR="00AC7647" w:rsidRDefault="00AC7647" w:rsidP="00AC76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есть иные основания.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3.1.29.  Выбытие актива отражают в учете при наличии </w:t>
      </w:r>
      <w:hyperlink r:id="rId22" w:history="1">
        <w:r>
          <w:rPr>
            <w:rFonts w:ascii="Times New Roman" w:hAnsi="Times New Roman" w:cs="Times New Roman"/>
            <w:sz w:val="26"/>
            <w:szCs w:val="26"/>
          </w:rPr>
          <w:t>ряда критериев</w:t>
        </w:r>
      </w:hyperlink>
      <w:r>
        <w:rPr>
          <w:rFonts w:ascii="Times New Roman" w:hAnsi="Times New Roman" w:cs="Times New Roman"/>
          <w:sz w:val="26"/>
          <w:szCs w:val="26"/>
        </w:rPr>
        <w:t>:</w:t>
      </w:r>
    </w:p>
    <w:p w:rsidR="00AC7647" w:rsidRDefault="00AC7647" w:rsidP="00AC7647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 субъекта учета нет контроля над активом, отсутствуют расходы по нему, нет права получения экономических выгод (извлечения полезного потенциала), которые связаны с его распоряжением (владением, пользованием);</w:t>
      </w:r>
    </w:p>
    <w:p w:rsidR="00AC7647" w:rsidRDefault="00AC7647" w:rsidP="00AC7647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субъект учета не распоряжается (не владеет, не пользуется) выбывшим объектом или не использует его в той степени, которая предусматривалась при признании такого объекта в составе непроизведенных активов;</w:t>
      </w:r>
    </w:p>
    <w:p w:rsidR="00AC7647" w:rsidRDefault="00AC7647" w:rsidP="00AC7647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величина дохода (расхода) от выбытия объекта непроизведенных активов имеет оценку;</w:t>
      </w:r>
    </w:p>
    <w:p w:rsidR="00AC7647" w:rsidRDefault="00AC7647" w:rsidP="00AC7647">
      <w:pPr>
        <w:pStyle w:val="ConsPlusNormal"/>
        <w:ind w:left="540" w:firstLine="0"/>
        <w:jc w:val="both"/>
        <w:rPr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прогнозируемые экономические выгоды или полезный потенциал, а также прогнозируемые или понесенные затраты (убытки), связанные с выбытием актива, имеют оценку.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center"/>
        <w:rPr>
          <w:b/>
          <w:szCs w:val="26"/>
        </w:rPr>
      </w:pPr>
      <w:r>
        <w:rPr>
          <w:b/>
          <w:szCs w:val="26"/>
        </w:rPr>
        <w:t>3.3. Материальные запасы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both"/>
        <w:rPr>
          <w:szCs w:val="26"/>
        </w:rPr>
      </w:pPr>
      <w:r>
        <w:rPr>
          <w:szCs w:val="26"/>
        </w:rPr>
        <w:t xml:space="preserve">        Раздел дополнить следующими пунктами.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zCs w:val="26"/>
        </w:rPr>
        <w:t xml:space="preserve">      3.3.6. </w:t>
      </w:r>
      <w:r>
        <w:rPr>
          <w:snapToGrid/>
          <w:szCs w:val="26"/>
        </w:rPr>
        <w:t>Группировка материальных запасов и незавершенного производства в целях обеспечения их аналитического (управленческого) учета осуществляется в соответствии с положениями документов учетной политики, принятых субъектом учета с учетом положений Стандарта и других нормативных правовых актов, регулирующих ведение бухгалтерского учета и составление бухгалтерской (финансовой) отчетности.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Порядок  группировки </w:t>
      </w:r>
      <w:proofErr w:type="spellStart"/>
      <w:r>
        <w:rPr>
          <w:bCs/>
          <w:snapToGrid/>
          <w:szCs w:val="26"/>
        </w:rPr>
        <w:t>матзапасов</w:t>
      </w:r>
      <w:proofErr w:type="spellEnd"/>
      <w:r>
        <w:rPr>
          <w:bCs/>
          <w:snapToGrid/>
          <w:szCs w:val="26"/>
        </w:rPr>
        <w:t xml:space="preserve">;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порядок уточнения первоначальной стоимости </w:t>
      </w:r>
      <w:proofErr w:type="gramStart"/>
      <w:r>
        <w:rPr>
          <w:bCs/>
          <w:snapToGrid/>
          <w:szCs w:val="26"/>
        </w:rPr>
        <w:t>приобретенных</w:t>
      </w:r>
      <w:proofErr w:type="gramEnd"/>
      <w:r>
        <w:rPr>
          <w:bCs/>
          <w:snapToGrid/>
          <w:szCs w:val="26"/>
        </w:rPr>
        <w:t xml:space="preserve"> </w:t>
      </w:r>
      <w:proofErr w:type="spellStart"/>
      <w:r>
        <w:rPr>
          <w:bCs/>
          <w:snapToGrid/>
          <w:szCs w:val="26"/>
        </w:rPr>
        <w:t>матзапасов</w:t>
      </w:r>
      <w:proofErr w:type="spellEnd"/>
      <w:r>
        <w:rPr>
          <w:bCs/>
          <w:snapToGrid/>
          <w:szCs w:val="26"/>
        </w:rPr>
        <w:t>, которые находятся в пути и приняты к учету по цене договора;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порядок определения фактической себестоимости (затрат на производство) видов продукции;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способы распределения накладных расходов;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особенности отражения в бухучете материальных запасов группы "Товары", переданных в </w:t>
      </w:r>
      <w:proofErr w:type="spellStart"/>
      <w:r>
        <w:rPr>
          <w:bCs/>
          <w:snapToGrid/>
          <w:szCs w:val="26"/>
        </w:rPr>
        <w:t>реализациюаценки</w:t>
      </w:r>
      <w:proofErr w:type="spellEnd"/>
      <w:r>
        <w:rPr>
          <w:bCs/>
          <w:snapToGrid/>
          <w:szCs w:val="26"/>
        </w:rPr>
        <w:t xml:space="preserve"> (торговой скидки) на аналитических счетах учета товаров;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>- особенности оценки незавершенного производства на отчетную дату в сумме затрат, связанных с производством продукции, выполнением работ, оказанием услуг осуществляется в соответствии с Федеральным стандартом № 256н.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center"/>
        <w:rPr>
          <w:b/>
          <w:szCs w:val="26"/>
        </w:rPr>
      </w:pP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3.4. Расчеты по доходам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3.5. Расчеты с подотчетными лицами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3.6. Расчеты с дебиторами и кредиторами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both"/>
        <w:rPr>
          <w:szCs w:val="26"/>
        </w:rPr>
      </w:pPr>
      <w:r>
        <w:rPr>
          <w:szCs w:val="26"/>
        </w:rPr>
        <w:t xml:space="preserve">        Раздел дополнить следующим пунктом.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3.6.7. Федеральный стандарт № 145н (далее – ФС № 145) </w:t>
      </w:r>
      <w:hyperlink r:id="rId23" w:history="1">
        <w:r>
          <w:rPr>
            <w:bCs/>
            <w:snapToGrid/>
            <w:szCs w:val="26"/>
          </w:rPr>
          <w:t>регламентирует</w:t>
        </w:r>
      </w:hyperlink>
      <w:r>
        <w:rPr>
          <w:bCs/>
          <w:snapToGrid/>
          <w:szCs w:val="26"/>
        </w:rPr>
        <w:t xml:space="preserve"> правила учета по тем договорам подряда и возмездного оказания услуг, срок действия которых превышает один год.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        В учете доходы будущих периодов и дебиторская задолженность </w:t>
      </w:r>
      <w:proofErr w:type="gramStart"/>
      <w:r>
        <w:rPr>
          <w:bCs/>
          <w:snapToGrid/>
          <w:szCs w:val="26"/>
        </w:rPr>
        <w:t>отражаются на</w:t>
      </w:r>
      <w:proofErr w:type="gramEnd"/>
      <w:r>
        <w:rPr>
          <w:bCs/>
          <w:snapToGrid/>
          <w:szCs w:val="26"/>
        </w:rPr>
        <w:t xml:space="preserve"> всю сумму долгосрочного договора при его заключении;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>- способы переноса предстоящих доходов на финансовый результат текущего периода - равномерно в течение срока договора.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Порядок аналитического учета отложенного НДС при отражении в бухучете доходов до наступления момента возникновения базы по налогу – в соответствии </w:t>
      </w:r>
      <w:hyperlink r:id="rId24" w:history="1">
        <w:r>
          <w:rPr>
            <w:bCs/>
            <w:snapToGrid/>
            <w:szCs w:val="26"/>
          </w:rPr>
          <w:t>п. 13</w:t>
        </w:r>
      </w:hyperlink>
      <w:r>
        <w:rPr>
          <w:bCs/>
          <w:snapToGrid/>
          <w:szCs w:val="26"/>
        </w:rPr>
        <w:t xml:space="preserve"> ФС № 145;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случаи ведения учета по стандарту в отношении договоров, не относящихся к </w:t>
      </w:r>
      <w:proofErr w:type="gramStart"/>
      <w:r>
        <w:rPr>
          <w:bCs/>
          <w:snapToGrid/>
          <w:szCs w:val="26"/>
        </w:rPr>
        <w:t>долгосрочным</w:t>
      </w:r>
      <w:proofErr w:type="gramEnd"/>
      <w:r>
        <w:rPr>
          <w:bCs/>
          <w:snapToGrid/>
          <w:szCs w:val="26"/>
        </w:rPr>
        <w:t xml:space="preserve">, у которых период действия приходится на разные календарные годы – в соответствии  </w:t>
      </w:r>
      <w:hyperlink r:id="rId25" w:history="1">
        <w:r>
          <w:rPr>
            <w:bCs/>
            <w:snapToGrid/>
            <w:szCs w:val="26"/>
          </w:rPr>
          <w:t>п. 5</w:t>
        </w:r>
      </w:hyperlink>
      <w:r>
        <w:rPr>
          <w:bCs/>
          <w:snapToGrid/>
          <w:szCs w:val="26"/>
        </w:rPr>
        <w:t xml:space="preserve"> ФС № 145);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- правила учета доходов, расходов, дебиторской задолженности и НДС при выполнении работ по договору строительного подряда – в соответствии п. </w:t>
      </w:r>
      <w:hyperlink r:id="rId26" w:history="1">
        <w:r>
          <w:rPr>
            <w:bCs/>
            <w:snapToGrid/>
            <w:szCs w:val="26"/>
          </w:rPr>
          <w:t>п. 6 - 10</w:t>
        </w:r>
      </w:hyperlink>
      <w:r>
        <w:rPr>
          <w:bCs/>
          <w:snapToGrid/>
          <w:szCs w:val="26"/>
        </w:rPr>
        <w:t xml:space="preserve">, </w:t>
      </w:r>
      <w:hyperlink r:id="rId27" w:history="1">
        <w:r>
          <w:rPr>
            <w:bCs/>
            <w:snapToGrid/>
            <w:szCs w:val="26"/>
          </w:rPr>
          <w:t>16</w:t>
        </w:r>
      </w:hyperlink>
      <w:r>
        <w:rPr>
          <w:bCs/>
          <w:snapToGrid/>
          <w:szCs w:val="26"/>
        </w:rPr>
        <w:t xml:space="preserve"> ФС № 145).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jc w:val="center"/>
        <w:rPr>
          <w:b/>
          <w:szCs w:val="26"/>
        </w:rPr>
      </w:pP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3.7. Финансовый результат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4. Порядок отражения в бюджетном учете и отчетности учреждения</w:t>
      </w:r>
    </w:p>
    <w:p w:rsidR="00AC7647" w:rsidRDefault="00AC7647" w:rsidP="00AC7647">
      <w:pPr>
        <w:autoSpaceDE w:val="0"/>
        <w:autoSpaceDN w:val="0"/>
        <w:adjustRightInd w:val="0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событий после отчетной даты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5. Инвентаризация имущества и обязательств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6. Технология обработки учетной информации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7. Первичные и сводные учетные документы, правила документооборота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8. Порядок организации и обеспечения внутреннего финансового контроля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9. Бюджетная отчетность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b/>
          <w:bCs/>
          <w:snapToGrid/>
          <w:szCs w:val="26"/>
        </w:rPr>
      </w:pPr>
      <w:r>
        <w:rPr>
          <w:bCs/>
          <w:snapToGrid/>
          <w:szCs w:val="26"/>
        </w:rPr>
        <w:t xml:space="preserve">Применять новшества нужно будет </w:t>
      </w:r>
      <w:r>
        <w:rPr>
          <w:b/>
          <w:bCs/>
          <w:snapToGrid/>
          <w:szCs w:val="26"/>
        </w:rPr>
        <w:t xml:space="preserve">с отчетности 2020 года. 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b/>
          <w:bCs/>
          <w:snapToGrid/>
          <w:szCs w:val="26"/>
          <w:u w:val="single"/>
        </w:rPr>
      </w:pPr>
      <w:r>
        <w:rPr>
          <w:bCs/>
          <w:snapToGrid/>
          <w:szCs w:val="26"/>
          <w:u w:val="single"/>
        </w:rPr>
        <w:t>Федеральный стандарт № 37н.</w:t>
      </w:r>
    </w:p>
    <w:p w:rsidR="00AC7647" w:rsidRDefault="00333775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hyperlink r:id="rId28" w:history="1">
        <w:r w:rsidR="00AC7647">
          <w:rPr>
            <w:snapToGrid/>
            <w:szCs w:val="26"/>
          </w:rPr>
          <w:t>Бюджетная информация</w:t>
        </w:r>
      </w:hyperlink>
      <w:r w:rsidR="00AC7647">
        <w:rPr>
          <w:snapToGrid/>
          <w:szCs w:val="26"/>
        </w:rPr>
        <w:t xml:space="preserve"> - это бюджетные назначения исполнения бюджета и плановые назначения деятельности учреждения.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Бюджетные назначения </w:t>
      </w:r>
      <w:hyperlink r:id="rId29" w:history="1">
        <w:r>
          <w:rPr>
            <w:snapToGrid/>
            <w:szCs w:val="26"/>
          </w:rPr>
          <w:t>включают</w:t>
        </w:r>
      </w:hyperlink>
      <w:r>
        <w:rPr>
          <w:snapToGrid/>
          <w:szCs w:val="26"/>
        </w:rPr>
        <w:t>: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плановые (прогнозные) показатели по доходам бюджета;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показатели бюджетных ассигнований, лимитов бюджетных обязательств;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показатели поступлений по источникам финансирования дефицита бюджета;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бюджетные ассигнования по выплатам источников финансирования дефицита бюджета.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К плановым назначениям </w:t>
      </w:r>
      <w:hyperlink r:id="rId30" w:history="1">
        <w:r>
          <w:rPr>
            <w:snapToGrid/>
            <w:szCs w:val="26"/>
          </w:rPr>
          <w:t>относят</w:t>
        </w:r>
      </w:hyperlink>
      <w:r>
        <w:rPr>
          <w:snapToGrid/>
          <w:szCs w:val="26"/>
        </w:rPr>
        <w:t xml:space="preserve"> показатели плана ФХД и иные плановые показатели.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bCs/>
          <w:snapToGrid/>
          <w:szCs w:val="26"/>
        </w:rPr>
        <w:t>Главные распорядители, распорядители, получатели бюджетных средств, главные администраторы, администраторы источников финансирования дефицита бюджета, главные администраторы, администраторы доходов бюджета</w:t>
      </w:r>
      <w:r>
        <w:rPr>
          <w:snapToGrid/>
          <w:szCs w:val="26"/>
        </w:rPr>
        <w:t xml:space="preserve"> бюджетную информацию </w:t>
      </w:r>
      <w:hyperlink r:id="rId31" w:history="1">
        <w:r>
          <w:rPr>
            <w:snapToGrid/>
            <w:szCs w:val="26"/>
          </w:rPr>
          <w:t>включают</w:t>
        </w:r>
      </w:hyperlink>
      <w:r>
        <w:rPr>
          <w:snapToGrid/>
          <w:szCs w:val="26"/>
        </w:rPr>
        <w:t>: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 xml:space="preserve">- в отчет об исполнении бюджета </w:t>
      </w:r>
      <w:hyperlink r:id="rId32" w:history="1">
        <w:r>
          <w:rPr>
            <w:snapToGrid/>
            <w:szCs w:val="26"/>
          </w:rPr>
          <w:t>(ф. 0503127)</w:t>
        </w:r>
      </w:hyperlink>
      <w:r>
        <w:rPr>
          <w:snapToGrid/>
          <w:szCs w:val="26"/>
        </w:rPr>
        <w:t>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 xml:space="preserve">- отчет о бюджетных обязательствах </w:t>
      </w:r>
      <w:hyperlink r:id="rId33" w:history="1">
        <w:r>
          <w:rPr>
            <w:snapToGrid/>
            <w:szCs w:val="26"/>
          </w:rPr>
          <w:t>(ф. 0503128)</w:t>
        </w:r>
      </w:hyperlink>
      <w:r>
        <w:rPr>
          <w:snapToGrid/>
          <w:szCs w:val="26"/>
        </w:rPr>
        <w:t>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 xml:space="preserve">- пояснительную записку </w:t>
      </w:r>
      <w:hyperlink r:id="rId34" w:history="1">
        <w:r>
          <w:rPr>
            <w:snapToGrid/>
            <w:szCs w:val="26"/>
          </w:rPr>
          <w:t>(ф. 0503160)</w:t>
        </w:r>
      </w:hyperlink>
      <w:r>
        <w:rPr>
          <w:snapToGrid/>
          <w:szCs w:val="26"/>
        </w:rPr>
        <w:t>.</w:t>
      </w:r>
    </w:p>
    <w:p w:rsidR="00AC7647" w:rsidRDefault="00AC7647" w:rsidP="00AC7647">
      <w:pPr>
        <w:autoSpaceDE w:val="0"/>
        <w:autoSpaceDN w:val="0"/>
        <w:adjustRightInd w:val="0"/>
        <w:ind w:left="540"/>
        <w:rPr>
          <w:bCs/>
          <w:snapToGrid/>
          <w:szCs w:val="26"/>
          <w:u w:val="single"/>
        </w:rPr>
      </w:pPr>
      <w:r>
        <w:rPr>
          <w:bCs/>
          <w:snapToGrid/>
          <w:szCs w:val="26"/>
          <w:u w:val="single"/>
        </w:rPr>
        <w:t>Федеральный стандарт № 34н.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  По каждой признаваемой в учете группе непроизведенных активов в бухгалтерской (финансовой) отчетности </w:t>
      </w:r>
      <w:hyperlink r:id="rId35" w:history="1">
        <w:r>
          <w:rPr>
            <w:snapToGrid/>
            <w:szCs w:val="26"/>
          </w:rPr>
          <w:t>раскрываются</w:t>
        </w:r>
      </w:hyperlink>
      <w:r>
        <w:rPr>
          <w:snapToGrid/>
          <w:szCs w:val="26"/>
        </w:rPr>
        <w:t>: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сумма балансовой стоимости и сумма накопленных убытков от обесценения непроизведенных активов, входящих в соответствующую группу, на начало и конец периода;</w:t>
      </w:r>
    </w:p>
    <w:p w:rsidR="00AC7647" w:rsidRDefault="00AC7647" w:rsidP="00AC7647">
      <w:pPr>
        <w:autoSpaceDE w:val="0"/>
        <w:autoSpaceDN w:val="0"/>
        <w:adjustRightInd w:val="0"/>
        <w:ind w:left="540"/>
        <w:jc w:val="both"/>
        <w:rPr>
          <w:snapToGrid/>
          <w:szCs w:val="26"/>
        </w:rPr>
      </w:pPr>
      <w:r>
        <w:rPr>
          <w:snapToGrid/>
          <w:szCs w:val="26"/>
        </w:rPr>
        <w:t>- сверка остаточной стоимости на начало и конец периода.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Дополнительно раскрыть: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наличие и размер ограничений прав собственности или иных прав. Раскрываются также стоимость объектов имущества, которые субъект учета не вправе использовать в качестве обеспечения исполнения обязательств, а также перечень непроизведенных активов, переданных в качестве обеспечения исполнения обязательств субъекта учета, и их остаточная стоимость на начало и конец отчетного периода;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стоимость непроизведенных активов, отраженных в составе имущества казны на начало и конец отчетного периода;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сумму договорных обязательств по приобретению непроизведенных активов на конец отчетного периода;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lastRenderedPageBreak/>
        <w:t xml:space="preserve">- сумму включенных в доходы текущего периода компенсаций, связанных с обесценением, утратой или передачей объектов. 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  Если информация об этих компенсациях не раскрыта отдельно в отчете о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финансовых </w:t>
      </w:r>
      <w:proofErr w:type="gramStart"/>
      <w:r>
        <w:rPr>
          <w:snapToGrid/>
          <w:szCs w:val="26"/>
        </w:rPr>
        <w:t>результатах</w:t>
      </w:r>
      <w:proofErr w:type="gramEnd"/>
      <w:r>
        <w:rPr>
          <w:snapToGrid/>
          <w:szCs w:val="26"/>
        </w:rPr>
        <w:t xml:space="preserve"> деятельности, такие сведения раскрываются в пояснительной записке, представляемой в составе бухгалтерской (финансовой) отчетности.</w:t>
      </w:r>
    </w:p>
    <w:p w:rsidR="00AC7647" w:rsidRDefault="00AC7647" w:rsidP="00AC7647">
      <w:pPr>
        <w:autoSpaceDE w:val="0"/>
        <w:autoSpaceDN w:val="0"/>
        <w:adjustRightInd w:val="0"/>
        <w:ind w:left="540"/>
        <w:rPr>
          <w:bCs/>
          <w:snapToGrid/>
          <w:szCs w:val="26"/>
          <w:u w:val="single"/>
        </w:rPr>
      </w:pPr>
      <w:r>
        <w:rPr>
          <w:bCs/>
          <w:snapToGrid/>
          <w:szCs w:val="26"/>
          <w:u w:val="single"/>
        </w:rPr>
        <w:t>Федеральный стандарт № 277н.</w:t>
      </w:r>
    </w:p>
    <w:p w:rsidR="00AC7647" w:rsidRDefault="00AC7647" w:rsidP="00AC7647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10. Налоговый учет, начисление страховых взносов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11. Обесценение активов</w:t>
      </w:r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>12. Аренда</w:t>
      </w:r>
      <w:bookmarkStart w:id="1" w:name="Par6"/>
      <w:bookmarkEnd w:id="1"/>
    </w:p>
    <w:p w:rsidR="00AC7647" w:rsidRDefault="00AC7647" w:rsidP="00AC7647">
      <w:pPr>
        <w:pStyle w:val="a6"/>
        <w:tabs>
          <w:tab w:val="left" w:pos="360"/>
          <w:tab w:val="left" w:pos="720"/>
        </w:tabs>
        <w:spacing w:after="0" w:line="360" w:lineRule="auto"/>
        <w:jc w:val="center"/>
        <w:rPr>
          <w:b/>
          <w:szCs w:val="26"/>
        </w:rPr>
      </w:pPr>
      <w:r>
        <w:rPr>
          <w:b/>
          <w:szCs w:val="26"/>
        </w:rPr>
        <w:t xml:space="preserve">13. Резервы. 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13.1. Федеральный стандарт № 124н (далее – ФС № 124) </w:t>
      </w:r>
      <w:hyperlink r:id="rId36" w:history="1">
        <w:r>
          <w:rPr>
            <w:bCs/>
            <w:snapToGrid/>
            <w:szCs w:val="26"/>
          </w:rPr>
          <w:t>применяется</w:t>
        </w:r>
      </w:hyperlink>
      <w:r>
        <w:rPr>
          <w:bCs/>
          <w:snapToGrid/>
          <w:szCs w:val="26"/>
        </w:rPr>
        <w:t xml:space="preserve"> в отношении лишь пяти видов резервов: по гарантийному ремонту, по претензиям и искам, по реструктуризации, по убыточным договорным обязательствам и на демонтаж и вывод основных средств из эксплуатации.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          13.1.1. Порядок создания нового вида резерва - по убыточным договорным обязательствам – в соответствии </w:t>
      </w:r>
      <w:hyperlink r:id="rId37" w:history="1">
        <w:r>
          <w:rPr>
            <w:bCs/>
            <w:snapToGrid/>
            <w:szCs w:val="26"/>
          </w:rPr>
          <w:t>п. п. 6</w:t>
        </w:r>
      </w:hyperlink>
      <w:r>
        <w:rPr>
          <w:bCs/>
          <w:snapToGrid/>
          <w:szCs w:val="26"/>
        </w:rPr>
        <w:t xml:space="preserve">, </w:t>
      </w:r>
      <w:hyperlink r:id="rId38" w:history="1">
        <w:r>
          <w:rPr>
            <w:bCs/>
            <w:snapToGrid/>
            <w:szCs w:val="26"/>
          </w:rPr>
          <w:t>14</w:t>
        </w:r>
      </w:hyperlink>
      <w:r>
        <w:rPr>
          <w:bCs/>
          <w:snapToGrid/>
          <w:szCs w:val="26"/>
        </w:rPr>
        <w:t xml:space="preserve">, </w:t>
      </w:r>
      <w:hyperlink r:id="rId39" w:history="1">
        <w:r>
          <w:rPr>
            <w:bCs/>
            <w:snapToGrid/>
            <w:szCs w:val="26"/>
          </w:rPr>
          <w:t>24</w:t>
        </w:r>
      </w:hyperlink>
      <w:r>
        <w:rPr>
          <w:bCs/>
          <w:snapToGrid/>
          <w:szCs w:val="26"/>
        </w:rPr>
        <w:t xml:space="preserve"> ФС № 124;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Методика дисконтирования величины тех резервов, по которым предполагаемый срок исполнения обязательства превышает 12 месяцев после годовой отчетной даты – в соответствии </w:t>
      </w:r>
      <w:hyperlink r:id="rId40" w:history="1">
        <w:r>
          <w:rPr>
            <w:bCs/>
            <w:snapToGrid/>
            <w:szCs w:val="26"/>
          </w:rPr>
          <w:t>п. п. 17</w:t>
        </w:r>
      </w:hyperlink>
      <w:r>
        <w:rPr>
          <w:bCs/>
          <w:snapToGrid/>
          <w:szCs w:val="26"/>
        </w:rPr>
        <w:t xml:space="preserve">, </w:t>
      </w:r>
      <w:hyperlink r:id="rId41" w:history="1">
        <w:r>
          <w:rPr>
            <w:bCs/>
            <w:snapToGrid/>
            <w:szCs w:val="26"/>
          </w:rPr>
          <w:t>27</w:t>
        </w:r>
      </w:hyperlink>
      <w:r>
        <w:rPr>
          <w:bCs/>
          <w:snapToGrid/>
          <w:szCs w:val="26"/>
        </w:rPr>
        <w:t xml:space="preserve"> ФС № 124.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bCs/>
          <w:snapToGrid/>
          <w:szCs w:val="26"/>
        </w:rPr>
      </w:pPr>
      <w:r>
        <w:rPr>
          <w:bCs/>
          <w:snapToGrid/>
          <w:szCs w:val="26"/>
        </w:rPr>
        <w:t xml:space="preserve">Способы формирования информации об условных активах и обязательствах для заполнения отчетности. В бухучете они не отражаются – в соответствии </w:t>
      </w:r>
      <w:hyperlink r:id="rId42" w:history="1">
        <w:proofErr w:type="spellStart"/>
        <w:r>
          <w:rPr>
            <w:bCs/>
            <w:snapToGrid/>
            <w:szCs w:val="26"/>
          </w:rPr>
          <w:t>п.п</w:t>
        </w:r>
        <w:proofErr w:type="spellEnd"/>
        <w:r>
          <w:rPr>
            <w:bCs/>
            <w:snapToGrid/>
            <w:szCs w:val="26"/>
          </w:rPr>
          <w:t>. 34 - 39</w:t>
        </w:r>
      </w:hyperlink>
      <w:r>
        <w:rPr>
          <w:bCs/>
          <w:snapToGrid/>
          <w:szCs w:val="26"/>
        </w:rPr>
        <w:t xml:space="preserve">, </w:t>
      </w:r>
      <w:hyperlink r:id="rId43" w:history="1">
        <w:r>
          <w:rPr>
            <w:bCs/>
            <w:snapToGrid/>
            <w:szCs w:val="26"/>
          </w:rPr>
          <w:t>42</w:t>
        </w:r>
      </w:hyperlink>
      <w:r>
        <w:rPr>
          <w:bCs/>
          <w:snapToGrid/>
          <w:szCs w:val="26"/>
        </w:rPr>
        <w:t xml:space="preserve"> ФС № 124.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bCs/>
          <w:snapToGrid/>
          <w:szCs w:val="26"/>
        </w:rPr>
        <w:t xml:space="preserve">           13.1.2. </w:t>
      </w:r>
      <w:r>
        <w:rPr>
          <w:snapToGrid/>
          <w:szCs w:val="26"/>
        </w:rPr>
        <w:t>Порядок формирования и учета резервов: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 по гарантийному ремонту – в соответствии </w:t>
      </w:r>
      <w:hyperlink r:id="rId44" w:history="1">
        <w:r>
          <w:rPr>
            <w:snapToGrid/>
            <w:szCs w:val="26"/>
          </w:rPr>
          <w:t>п. п. 6</w:t>
        </w:r>
      </w:hyperlink>
      <w:r>
        <w:rPr>
          <w:snapToGrid/>
          <w:szCs w:val="26"/>
        </w:rPr>
        <w:t xml:space="preserve">, </w:t>
      </w:r>
      <w:hyperlink r:id="rId45" w:history="1">
        <w:r>
          <w:rPr>
            <w:snapToGrid/>
            <w:szCs w:val="26"/>
          </w:rPr>
          <w:t>10</w:t>
        </w:r>
      </w:hyperlink>
      <w:r>
        <w:rPr>
          <w:snapToGrid/>
          <w:szCs w:val="26"/>
        </w:rPr>
        <w:t xml:space="preserve">, </w:t>
      </w:r>
      <w:hyperlink r:id="rId46" w:history="1">
        <w:r>
          <w:rPr>
            <w:snapToGrid/>
            <w:szCs w:val="26"/>
          </w:rPr>
          <w:t>21</w:t>
        </w:r>
      </w:hyperlink>
      <w:r>
        <w:rPr>
          <w:snapToGrid/>
          <w:szCs w:val="26"/>
        </w:rPr>
        <w:t xml:space="preserve"> ФС № 124;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по претензиям и искам –  </w:t>
      </w:r>
      <w:hyperlink r:id="rId47" w:history="1">
        <w:r>
          <w:rPr>
            <w:snapToGrid/>
            <w:szCs w:val="26"/>
          </w:rPr>
          <w:t>п. п. 6</w:t>
        </w:r>
      </w:hyperlink>
      <w:r>
        <w:rPr>
          <w:snapToGrid/>
          <w:szCs w:val="26"/>
        </w:rPr>
        <w:t xml:space="preserve">, </w:t>
      </w:r>
      <w:hyperlink r:id="rId48" w:history="1">
        <w:r>
          <w:rPr>
            <w:snapToGrid/>
            <w:szCs w:val="26"/>
          </w:rPr>
          <w:t>8</w:t>
        </w:r>
      </w:hyperlink>
      <w:r>
        <w:rPr>
          <w:snapToGrid/>
          <w:szCs w:val="26"/>
        </w:rPr>
        <w:t xml:space="preserve">, </w:t>
      </w:r>
      <w:hyperlink r:id="rId49" w:history="1">
        <w:r>
          <w:rPr>
            <w:snapToGrid/>
            <w:szCs w:val="26"/>
          </w:rPr>
          <w:t>11 - 12</w:t>
        </w:r>
      </w:hyperlink>
      <w:r>
        <w:rPr>
          <w:snapToGrid/>
          <w:szCs w:val="26"/>
        </w:rPr>
        <w:t xml:space="preserve">, </w:t>
      </w:r>
      <w:hyperlink r:id="rId50" w:history="1">
        <w:r>
          <w:rPr>
            <w:snapToGrid/>
            <w:szCs w:val="26"/>
          </w:rPr>
          <w:t>20</w:t>
        </w:r>
      </w:hyperlink>
      <w:r>
        <w:rPr>
          <w:snapToGrid/>
          <w:szCs w:val="26"/>
        </w:rPr>
        <w:t xml:space="preserve">, </w:t>
      </w:r>
      <w:hyperlink r:id="rId51" w:history="1">
        <w:r>
          <w:rPr>
            <w:snapToGrid/>
            <w:szCs w:val="26"/>
          </w:rPr>
          <w:t>22</w:t>
        </w:r>
      </w:hyperlink>
      <w:r>
        <w:rPr>
          <w:snapToGrid/>
          <w:szCs w:val="26"/>
        </w:rPr>
        <w:t xml:space="preserve"> ФС № 124;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по реструктуризации - </w:t>
      </w:r>
      <w:hyperlink r:id="rId52" w:history="1">
        <w:r>
          <w:rPr>
            <w:snapToGrid/>
            <w:szCs w:val="26"/>
          </w:rPr>
          <w:t>п. п. 6</w:t>
        </w:r>
      </w:hyperlink>
      <w:r>
        <w:rPr>
          <w:snapToGrid/>
          <w:szCs w:val="26"/>
        </w:rPr>
        <w:t xml:space="preserve">, </w:t>
      </w:r>
      <w:hyperlink r:id="rId53" w:history="1">
        <w:r>
          <w:rPr>
            <w:snapToGrid/>
            <w:szCs w:val="26"/>
          </w:rPr>
          <w:t>13</w:t>
        </w:r>
      </w:hyperlink>
      <w:r>
        <w:rPr>
          <w:snapToGrid/>
          <w:szCs w:val="26"/>
        </w:rPr>
        <w:t xml:space="preserve">, </w:t>
      </w:r>
      <w:hyperlink r:id="rId54" w:history="1">
        <w:r>
          <w:rPr>
            <w:snapToGrid/>
            <w:szCs w:val="26"/>
          </w:rPr>
          <w:t>23</w:t>
        </w:r>
      </w:hyperlink>
      <w:r>
        <w:rPr>
          <w:snapToGrid/>
          <w:szCs w:val="26"/>
        </w:rPr>
        <w:t xml:space="preserve"> ФС № 124;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bCs/>
          <w:snapToGrid/>
          <w:szCs w:val="26"/>
        </w:rPr>
      </w:pPr>
      <w:r>
        <w:rPr>
          <w:snapToGrid/>
          <w:szCs w:val="26"/>
        </w:rPr>
        <w:t xml:space="preserve">- на демонтаж и вывод основных средств из эксплуатации - </w:t>
      </w:r>
      <w:hyperlink r:id="rId55" w:history="1">
        <w:r>
          <w:rPr>
            <w:snapToGrid/>
            <w:szCs w:val="26"/>
          </w:rPr>
          <w:t>п. п. 6</w:t>
        </w:r>
      </w:hyperlink>
      <w:r>
        <w:rPr>
          <w:snapToGrid/>
          <w:szCs w:val="26"/>
        </w:rPr>
        <w:t xml:space="preserve">, </w:t>
      </w:r>
      <w:hyperlink r:id="rId56" w:history="1">
        <w:r>
          <w:rPr>
            <w:snapToGrid/>
            <w:szCs w:val="26"/>
          </w:rPr>
          <w:t>15</w:t>
        </w:r>
      </w:hyperlink>
      <w:r>
        <w:rPr>
          <w:snapToGrid/>
          <w:szCs w:val="26"/>
        </w:rPr>
        <w:t xml:space="preserve">, </w:t>
      </w:r>
      <w:hyperlink r:id="rId57" w:history="1">
        <w:r>
          <w:rPr>
            <w:snapToGrid/>
            <w:szCs w:val="26"/>
          </w:rPr>
          <w:t>25 - 26</w:t>
        </w:r>
      </w:hyperlink>
      <w:r>
        <w:rPr>
          <w:snapToGrid/>
          <w:szCs w:val="26"/>
        </w:rPr>
        <w:t xml:space="preserve">, </w:t>
      </w:r>
      <w:hyperlink r:id="rId58" w:history="1">
        <w:r>
          <w:rPr>
            <w:snapToGrid/>
            <w:szCs w:val="26"/>
          </w:rPr>
          <w:t>31</w:t>
        </w:r>
      </w:hyperlink>
      <w:r>
        <w:rPr>
          <w:snapToGrid/>
          <w:szCs w:val="26"/>
        </w:rPr>
        <w:t xml:space="preserve"> ФС № 124.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  13.1.3. Резервы признаются при соблюдении следующих общих критериев: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у субъекта учета имеется обязанность, возникшая в результате произошедших фактов хозяйственной жизни;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для исполнения обязанности потребуется выбытие активов;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размер обязанности может быть обоснованно оценен и подтвержден расчетно или документально;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момент предъявления требования об исполнении обязательства и его размер не зависят от действий субъекта учета.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 13.1.4. При оценке величины резерва не принимаются в расчет: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суммы налогов, подлежащие уплате в связи с исполнением обязательства;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суммы ожидаемых встречных требований или суммы требований к другим лицам в возмещение расходов, планируемых при исполнении обязательства;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>- поступления, ожидаемые от выбытия активов, связанных с исполнением обязательства.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 В случае если при исполнении обязательства, по которому сформированы резервы, планируется поступление экономических выгод по встречным требованиям или требованиям к другим лицам, такие требования признаются в бухгалтерском учете в качестве самостоятельных активов. При этом величина сформированного резерва в целях исполнения обязательства не должна быть менее величины указанных активов (величины планируемых поступлений экономических выгод).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lastRenderedPageBreak/>
        <w:t xml:space="preserve">         13.1.5. Стоимостная оценка резервов подлежит ежегодному пересмотру и, при необходимости, корректировке до текущей обоснованной оценки на годовую отчетную дату и (или) на дату составления последней бухгалтерской (финансовой) отчетности при реорганизации субъекта учета.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>Изменения в стоимостной оценке резервов, за исключением резерва на демонтаж и вывод основных средств из эксплуатации, относятся на финансовый результат текущего периода.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>Изменения в стоимостной оценке резерва на демонтаж и вывод основных средств из эксплуатации, не связанные с приближением срока исполнения обязательства, относятся на увеличение или уменьшение стоимости будущих расходов на демонтаж и вывод основных средств из эксплуатации.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>Будущие расходы на демонтаж и вывод основных средств из эксплуатации относятся на расходы (на уменьшение финансового результата) текущего периода равномерно в течение срока полезного использования основного средства, в отношении которого признан резерв на демонтаж и вывод основных средств из эксплуатации.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 xml:space="preserve"> Стоимостная оценка дисконтированных резервов определяется с учетом ее увеличения в связи с приближением срока исполнения обязательств. Указанное увеличение признается в качестве процентного расхода текущего периода.</w:t>
      </w:r>
    </w:p>
    <w:p w:rsidR="00AC7647" w:rsidRDefault="00AC7647" w:rsidP="00AC7647">
      <w:pPr>
        <w:autoSpaceDE w:val="0"/>
        <w:autoSpaceDN w:val="0"/>
        <w:adjustRightInd w:val="0"/>
        <w:ind w:firstLine="540"/>
        <w:jc w:val="both"/>
        <w:rPr>
          <w:snapToGrid/>
          <w:szCs w:val="26"/>
        </w:rPr>
      </w:pPr>
      <w:r>
        <w:rPr>
          <w:snapToGrid/>
          <w:szCs w:val="26"/>
        </w:rPr>
        <w:t>Стоимостная оценка дисконтированных резервов пересчитывается в связи с изменением ставки дисконтирования на годовую отчетную дату. Указанное изменение стоимостной оценки дисконтированных резервов признается в качестве процентного дохода или расхода текущего периода.</w:t>
      </w:r>
    </w:p>
    <w:p w:rsidR="00AC7647" w:rsidRDefault="00AC7647" w:rsidP="00AC7647">
      <w:pPr>
        <w:autoSpaceDE w:val="0"/>
        <w:autoSpaceDN w:val="0"/>
        <w:adjustRightIn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          13.1.6.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периода.</w:t>
      </w:r>
    </w:p>
    <w:p w:rsidR="00AC7647" w:rsidRDefault="00AC7647" w:rsidP="00AC7647">
      <w:pPr>
        <w:ind w:firstLine="709"/>
        <w:jc w:val="both"/>
        <w:rPr>
          <w:szCs w:val="26"/>
        </w:rPr>
      </w:pPr>
    </w:p>
    <w:p w:rsidR="00AC7647" w:rsidRDefault="00AC7647" w:rsidP="00AC7647">
      <w:pPr>
        <w:ind w:firstLine="709"/>
        <w:jc w:val="both"/>
        <w:rPr>
          <w:szCs w:val="26"/>
        </w:rPr>
      </w:pPr>
    </w:p>
    <w:p w:rsidR="00AC7647" w:rsidRDefault="00AC7647" w:rsidP="00AC7647">
      <w:pPr>
        <w:ind w:firstLine="709"/>
        <w:jc w:val="both"/>
        <w:rPr>
          <w:szCs w:val="26"/>
        </w:rPr>
      </w:pPr>
    </w:p>
    <w:p w:rsidR="00AC7647" w:rsidRDefault="00AC7647" w:rsidP="00AC7647">
      <w:pPr>
        <w:ind w:firstLine="709"/>
        <w:jc w:val="both"/>
        <w:rPr>
          <w:szCs w:val="26"/>
        </w:rPr>
      </w:pPr>
    </w:p>
    <w:p w:rsidR="00AC7647" w:rsidRDefault="00AC7647" w:rsidP="00AC7647">
      <w:pPr>
        <w:ind w:firstLine="709"/>
        <w:jc w:val="both"/>
        <w:rPr>
          <w:szCs w:val="26"/>
        </w:rPr>
      </w:pPr>
    </w:p>
    <w:p w:rsidR="00AC7647" w:rsidRDefault="00AC7647" w:rsidP="00AC7647">
      <w:pPr>
        <w:ind w:firstLine="709"/>
        <w:jc w:val="both"/>
        <w:rPr>
          <w:szCs w:val="26"/>
        </w:rPr>
      </w:pPr>
    </w:p>
    <w:p w:rsidR="00262DE0" w:rsidRDefault="00333775"/>
    <w:sectPr w:rsidR="00262DE0">
      <w:headerReference w:type="even" r:id="rId59"/>
      <w:headerReference w:type="default" r:id="rId60"/>
      <w:pgSz w:w="11906" w:h="16838"/>
      <w:pgMar w:top="993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75" w:rsidRDefault="00333775">
      <w:r>
        <w:separator/>
      </w:r>
    </w:p>
  </w:endnote>
  <w:endnote w:type="continuationSeparator" w:id="0">
    <w:p w:rsidR="00333775" w:rsidRDefault="0033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75" w:rsidRDefault="00333775">
      <w:r>
        <w:separator/>
      </w:r>
    </w:p>
  </w:footnote>
  <w:footnote w:type="continuationSeparator" w:id="0">
    <w:p w:rsidR="00333775" w:rsidRDefault="0033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4A" w:rsidRDefault="00AC76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204A" w:rsidRDefault="00092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4A" w:rsidRDefault="00AC76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26B3">
      <w:rPr>
        <w:rStyle w:val="a5"/>
        <w:noProof/>
      </w:rPr>
      <w:t>6</w:t>
    </w:r>
    <w:r>
      <w:rPr>
        <w:rStyle w:val="a5"/>
      </w:rPr>
      <w:fldChar w:fldCharType="end"/>
    </w:r>
  </w:p>
  <w:p w:rsidR="0009204A" w:rsidRDefault="000920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47"/>
    <w:rsid w:val="0009204A"/>
    <w:rsid w:val="002726B3"/>
    <w:rsid w:val="00302897"/>
    <w:rsid w:val="00333775"/>
    <w:rsid w:val="00393B3B"/>
    <w:rsid w:val="00644D1C"/>
    <w:rsid w:val="00AC7647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C7647"/>
    <w:pPr>
      <w:spacing w:after="120" w:line="480" w:lineRule="auto"/>
      <w:ind w:left="283"/>
    </w:pPr>
    <w:rPr>
      <w:snapToGrid/>
      <w:szCs w:val="26"/>
    </w:rPr>
  </w:style>
  <w:style w:type="character" w:customStyle="1" w:styleId="20">
    <w:name w:val="Основной текст с отступом 2 Знак"/>
    <w:basedOn w:val="a0"/>
    <w:link w:val="2"/>
    <w:rsid w:val="00AC764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rsid w:val="00AC7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64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AC7647"/>
  </w:style>
  <w:style w:type="paragraph" w:styleId="a6">
    <w:name w:val="Body Text"/>
    <w:basedOn w:val="a"/>
    <w:link w:val="a7"/>
    <w:rsid w:val="00AC7647"/>
    <w:pPr>
      <w:spacing w:after="120"/>
    </w:pPr>
  </w:style>
  <w:style w:type="character" w:customStyle="1" w:styleId="a7">
    <w:name w:val="Основной текст Знак"/>
    <w:basedOn w:val="a0"/>
    <w:link w:val="a6"/>
    <w:rsid w:val="00AC764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rsid w:val="00AC7647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Style53">
    <w:name w:val="Style53"/>
    <w:basedOn w:val="a"/>
    <w:uiPriority w:val="99"/>
    <w:rsid w:val="00AC7647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C7647"/>
    <w:pPr>
      <w:spacing w:after="120" w:line="480" w:lineRule="auto"/>
      <w:ind w:left="283"/>
    </w:pPr>
    <w:rPr>
      <w:snapToGrid/>
      <w:szCs w:val="26"/>
    </w:rPr>
  </w:style>
  <w:style w:type="character" w:customStyle="1" w:styleId="20">
    <w:name w:val="Основной текст с отступом 2 Знак"/>
    <w:basedOn w:val="a0"/>
    <w:link w:val="2"/>
    <w:rsid w:val="00AC764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rsid w:val="00AC7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64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AC7647"/>
  </w:style>
  <w:style w:type="paragraph" w:styleId="a6">
    <w:name w:val="Body Text"/>
    <w:basedOn w:val="a"/>
    <w:link w:val="a7"/>
    <w:rsid w:val="00AC7647"/>
    <w:pPr>
      <w:spacing w:after="120"/>
    </w:pPr>
  </w:style>
  <w:style w:type="character" w:customStyle="1" w:styleId="a7">
    <w:name w:val="Основной текст Знак"/>
    <w:basedOn w:val="a0"/>
    <w:link w:val="a6"/>
    <w:rsid w:val="00AC764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rsid w:val="00AC7647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Style53">
    <w:name w:val="Style53"/>
    <w:basedOn w:val="a"/>
    <w:uiPriority w:val="99"/>
    <w:rsid w:val="00AC7647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53F56B76FFA29D60D17477D12E22AA35EE96DB4065EFDE35AEBFC57347058193378CB3629C84C432648068444B7FD587CA49B6F052B09Bz5n3H" TargetMode="External"/><Relationship Id="rId18" Type="http://schemas.openxmlformats.org/officeDocument/2006/relationships/hyperlink" Target="consultantplus://offline/ref=6788DAC3CDD88D53F4ADDC5963CA55B7B18C883E5D84ADA7FDFE296E9B33034E717FB845CF41247CFB0189475D83CCC644F4A14D4DE488E6U2CEI" TargetMode="External"/><Relationship Id="rId26" Type="http://schemas.openxmlformats.org/officeDocument/2006/relationships/hyperlink" Target="consultantplus://offline/ref=04FBA879D0201350AB3F70CAC3E152536F35D2ABDEEC23AF77663CCEC0CDF72C213048EEE2CEC2CEC7CECA63D085B23AE07DD583194AF3E1B01CL" TargetMode="External"/><Relationship Id="rId39" Type="http://schemas.openxmlformats.org/officeDocument/2006/relationships/hyperlink" Target="consultantplus://offline/ref=6A40B17563B42FFE07077D92EA697C3A2670C1264A880A69DAC7E5374D1185BD1696A7BCF63E0BB3EF6E781053424E33A3BE936BD86703F8h4iAM" TargetMode="External"/><Relationship Id="rId21" Type="http://schemas.openxmlformats.org/officeDocument/2006/relationships/hyperlink" Target="consultantplus://offline/ref=6788DAC3CDD88D53F4ADDC5963CA55B7B18C883E5D84ADA7FDFE296E9B33034E717FB845CF41247EFF0189475D83CCC644F4A14D4DE488E6U2CEI" TargetMode="External"/><Relationship Id="rId34" Type="http://schemas.openxmlformats.org/officeDocument/2006/relationships/hyperlink" Target="consultantplus://offline/ref=FA59BF2138E2E7CA73276CEF5F82CE54B32B78E726D8BD55152375FF5B39C607387FA5247E8830A222D966A75FE5625E3D3DDA1B629975ACQDWFG" TargetMode="External"/><Relationship Id="rId42" Type="http://schemas.openxmlformats.org/officeDocument/2006/relationships/hyperlink" Target="consultantplus://offline/ref=6A40B17563B42FFE07077D92EA697C3A2670C1264A880A69DAC7E5374D1185BD1696A7BCF63E0ABAEF6E781053424E33A3BE936BD86703F8h4iAM" TargetMode="External"/><Relationship Id="rId47" Type="http://schemas.openxmlformats.org/officeDocument/2006/relationships/hyperlink" Target="consultantplus://offline/ref=9A83E6380CB1E7A0A2B4C7E9FB9D37F13A0D2A51534519791DC43C0DDAC78D71356E82C5D44421A71ABE54F9D1D2EB94741617B871B3146E64s9M" TargetMode="External"/><Relationship Id="rId50" Type="http://schemas.openxmlformats.org/officeDocument/2006/relationships/hyperlink" Target="consultantplus://offline/ref=9A83E6380CB1E7A0A2B4C7E9FB9D37F13A0D2A51534519791DC43C0DDAC78D71356E82C5D44421A31CBE54F9D1D2EB94741617B871B3146E64s9M" TargetMode="External"/><Relationship Id="rId55" Type="http://schemas.openxmlformats.org/officeDocument/2006/relationships/hyperlink" Target="consultantplus://offline/ref=9A83E6380CB1E7A0A2B4C7E9FB9D37F13A0D2A51534519791DC43C0DDAC78D71356E82C5D44421A71FBE54F9D1D2EB94741617B871B3146E64s9M" TargetMode="External"/><Relationship Id="rId7" Type="http://schemas.openxmlformats.org/officeDocument/2006/relationships/hyperlink" Target="consultantplus://offline/ref=8C0EF73457F807E2FE7996A98214F28C7954527687482C0690E5BFDC6522F8CC13A589ED5D3370AC2BF599B8CD800DF5590675FC1AF37B28P95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88DAC3CDD88D53F4ADDC5963CA55B7B18C883E5D84ADA7FDFE296E9B33034E717FB845CF41247CFF0189475D83CCC644F4A14D4DE488E6U2CEI" TargetMode="External"/><Relationship Id="rId20" Type="http://schemas.openxmlformats.org/officeDocument/2006/relationships/hyperlink" Target="consultantplus://offline/ref=6788DAC3CDD88D53F4ADDC5963CA55B7B18C883E5D84ADA7FDFE296E9B33034E717FB845CF41247CF40189475D83CCC644F4A14D4DE488E6U2CEI" TargetMode="External"/><Relationship Id="rId29" Type="http://schemas.openxmlformats.org/officeDocument/2006/relationships/hyperlink" Target="consultantplus://offline/ref=0E3652586902207727CC59B8CE49B64A7997A91EDF4411269662C9A4B85F8313591E541AB9C3AC052820F1F1CAA19AB67E5C00D91EB68495S7U8G" TargetMode="External"/><Relationship Id="rId41" Type="http://schemas.openxmlformats.org/officeDocument/2006/relationships/hyperlink" Target="consultantplus://offline/ref=6A40B17563B42FFE07077D92EA697C3A2670C1264A880A69DAC7E5374D1185BD1696A7BCF63E0BB2EF6E781053424E33A3BE936BD86703F8h4iAM" TargetMode="External"/><Relationship Id="rId54" Type="http://schemas.openxmlformats.org/officeDocument/2006/relationships/hyperlink" Target="consultantplus://offline/ref=9A83E6380CB1E7A0A2B4C7E9FB9D37F13A0D2A51534519791DC43C0DDAC78D71356E82C5D44421AC1BBE54F9D1D2EB94741617B871B3146E64s9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C9A96AC42949C6BB6A60F373E27A1386B2791FA7DC1BA2A5B0C3A030100A0E072DCE9D38C8B512F880C8F990BBC79C5518DDE3E5E19FA6WDcFH" TargetMode="External"/><Relationship Id="rId24" Type="http://schemas.openxmlformats.org/officeDocument/2006/relationships/hyperlink" Target="consultantplus://offline/ref=04FBA879D0201350AB3F70CAC3E152536F35D2ABDEEC23AF77663CCEC0CDF72C213048EEE2CEC2CACDCECA63D085B23AE07DD583194AF3E1B01CL" TargetMode="External"/><Relationship Id="rId32" Type="http://schemas.openxmlformats.org/officeDocument/2006/relationships/hyperlink" Target="consultantplus://offline/ref=FA59BF2138E2E7CA73276CEF5F82CE54B32B78E726D8BD55152375FF5B39C607387FA5247E883BAE27D966A75FE5625E3D3DDA1B629975ACQDWFG" TargetMode="External"/><Relationship Id="rId37" Type="http://schemas.openxmlformats.org/officeDocument/2006/relationships/hyperlink" Target="consultantplus://offline/ref=6A40B17563B42FFE07077D92EA697C3A2670C1264A880A69DAC7E5374D1185BD1696A7BCF63E0BB8ED6E781053424E33A3BE936BD86703F8h4iAM" TargetMode="External"/><Relationship Id="rId40" Type="http://schemas.openxmlformats.org/officeDocument/2006/relationships/hyperlink" Target="consultantplus://offline/ref=6A40B17563B42FFE07077D92EA697C3A2670C1264A880A69DAC7E5374D1185BD1696A7BCF63E0BBCEF6E781053424E33A3BE936BD86703F8h4iAM" TargetMode="External"/><Relationship Id="rId45" Type="http://schemas.openxmlformats.org/officeDocument/2006/relationships/hyperlink" Target="consultantplus://offline/ref=9A83E6380CB1E7A0A2B4C7E9FB9D37F13A0D2A51534519791DC43C0DDAC78D71356E82C5D44421A11ABE54F9D1D2EB94741617B871B3146E64s9M" TargetMode="External"/><Relationship Id="rId53" Type="http://schemas.openxmlformats.org/officeDocument/2006/relationships/hyperlink" Target="consultantplus://offline/ref=9A83E6380CB1E7A0A2B4C7E9FB9D37F13A0D2A51534519791DC43C0DDAC78D71356E82C5D44421A11CBE54F9D1D2EB94741617B871B3146E64s9M" TargetMode="External"/><Relationship Id="rId58" Type="http://schemas.openxmlformats.org/officeDocument/2006/relationships/hyperlink" Target="consultantplus://offline/ref=9A83E6380CB1E7A0A2B4C7E9FB9D37F13A0D2A51534519791DC43C0DDAC78D71356E82C5D44421AD1DBE54F9D1D2EB94741617B871B3146E64s9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953F56B76FFA29D60D17477D12E22AA35EE96DB4065EFDE35AEBFC57347058193378CB3629C85C734648068444B7FD587CA49B6F052B09Bz5n3H" TargetMode="External"/><Relationship Id="rId23" Type="http://schemas.openxmlformats.org/officeDocument/2006/relationships/hyperlink" Target="consultantplus://offline/ref=5B38F9A3CCA6C856D4A98C4B8592EA6A9EB92EB67221FF6BBB706C59A1B98822492183EF9D096F7FA0A84D5E56E9F502456AD7D46A4FE76E0A20L" TargetMode="External"/><Relationship Id="rId28" Type="http://schemas.openxmlformats.org/officeDocument/2006/relationships/hyperlink" Target="consultantplus://offline/ref=0E3652586902207727CC59B8CE49B64A7997A91EDF4411269662C9A4B85F8313591E541AB9C3AC052F20F1F1CAA19AB67E5C00D91EB68495S7U8G" TargetMode="External"/><Relationship Id="rId36" Type="http://schemas.openxmlformats.org/officeDocument/2006/relationships/hyperlink" Target="consultantplus://offline/ref=B15BDC3655BD31E0866B0F5193BC7DAAEDFED179A8BA7E1EEED74891C043242A84B1E74239588D90E45D46A08883F530530BBD4F54834302iFe3M" TargetMode="External"/><Relationship Id="rId49" Type="http://schemas.openxmlformats.org/officeDocument/2006/relationships/hyperlink" Target="consultantplus://offline/ref=9A83E6380CB1E7A0A2B4C7E9FB9D37F13A0D2A51534519791DC43C0DDAC78D71356E82C5D44421A119BE54F9D1D2EB94741617B871B3146E64s9M" TargetMode="External"/><Relationship Id="rId57" Type="http://schemas.openxmlformats.org/officeDocument/2006/relationships/hyperlink" Target="consultantplus://offline/ref=9A83E6380CB1E7A0A2B4C7E9FB9D37F13A0D2A51534519791DC43C0DDAC78D71356E82C5D44421AC19BE54F9D1D2EB94741617B871B3146E64s9M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BCC9A96AC42949C6BB6A60F373E27A1386B27619A3D51BA2A5B0C3A030100A0E072DCE9D38C8B31FFF80C8F990BBC79C5518DDE3E5E19FA6WDcFH" TargetMode="External"/><Relationship Id="rId19" Type="http://schemas.openxmlformats.org/officeDocument/2006/relationships/hyperlink" Target="consultantplus://offline/ref=6788DAC3CDD88D53F4ADDC5963CA55B7B18C883E5D84ADA7FDFE296E9B33034E717FB845CF41247CF80189475D83CCC644F4A14D4DE488E6U2CEI" TargetMode="External"/><Relationship Id="rId31" Type="http://schemas.openxmlformats.org/officeDocument/2006/relationships/hyperlink" Target="consultantplus://offline/ref=FA59BF2138E2E7CA73276CEF5F82CE54B22076E721D7BD55152375FF5B39C607387FA5247E8A39AE24D966A75FE5625E3D3DDA1B629975ACQDWFG" TargetMode="External"/><Relationship Id="rId44" Type="http://schemas.openxmlformats.org/officeDocument/2006/relationships/hyperlink" Target="consultantplus://offline/ref=9A83E6380CB1E7A0A2B4C7E9FB9D37F13A0D2A51534519791DC43C0DDAC78D71356E82C5D44421A71BBE54F9D1D2EB94741617B871B3146E64s9M" TargetMode="External"/><Relationship Id="rId52" Type="http://schemas.openxmlformats.org/officeDocument/2006/relationships/hyperlink" Target="consultantplus://offline/ref=9A83E6380CB1E7A0A2B4C7E9FB9D37F13A0D2A51534519791DC43C0DDAC78D71356E82C5D44421A719BE54F9D1D2EB94741617B871B3146E64s9M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0EF73457F807E2FE7996A98214F28C7954527687482C0690E5BFDC6522F8CC13A589ED5D3370AC25F599B8CD800DF5590675FC1AF37B28P95BG" TargetMode="External"/><Relationship Id="rId14" Type="http://schemas.openxmlformats.org/officeDocument/2006/relationships/hyperlink" Target="consultantplus://offline/ref=A953F56B76FFA29D60D17477D12E22AA35EE96DB4065EFDE35AEBFC57347058193378CB3629C84C533648068444B7FD587CA49B6F052B09Bz5n3H" TargetMode="External"/><Relationship Id="rId22" Type="http://schemas.openxmlformats.org/officeDocument/2006/relationships/hyperlink" Target="consultantplus://offline/ref=6788DAC3CDD88D53F4ADDC5963CA55B7B18C883E5D84ADA7FDFE296E9B33034E717FB845CF41247EFA0189475D83CCC644F4A14D4DE488E6U2CEI" TargetMode="External"/><Relationship Id="rId27" Type="http://schemas.openxmlformats.org/officeDocument/2006/relationships/hyperlink" Target="consultantplus://offline/ref=04FBA879D0201350AB3F70CAC3E152536F35D2ABDEEC23AF77663CCEC0CDF72C213048EEE2CEC2C4C8CECA63D085B23AE07DD583194AF3E1B01CL" TargetMode="External"/><Relationship Id="rId30" Type="http://schemas.openxmlformats.org/officeDocument/2006/relationships/hyperlink" Target="consultantplus://offline/ref=0E3652586902207727CC59B8CE49B64A7997A91EDF4411269662C9A4B85F8313591E541AB9C3AC052F20F1F1CAA19AB67E5C00D91EB68495S7U8G" TargetMode="External"/><Relationship Id="rId35" Type="http://schemas.openxmlformats.org/officeDocument/2006/relationships/hyperlink" Target="consultantplus://offline/ref=47FB62D8B0F0C4E97FBC1134187534B53DFC45E6B17D7139A0D019E273994A9BDC9B8A94040746E0641A387914413AABFA4E0F25B4B1D238P8v8G" TargetMode="External"/><Relationship Id="rId43" Type="http://schemas.openxmlformats.org/officeDocument/2006/relationships/hyperlink" Target="consultantplus://offline/ref=6A40B17563B42FFE07077D92EA697C3A2670C1264A880A69DAC7E5374D1185BD1696A7BCF63E0AB8EE6E781053424E33A3BE936BD86703F8h4iAM" TargetMode="External"/><Relationship Id="rId48" Type="http://schemas.openxmlformats.org/officeDocument/2006/relationships/hyperlink" Target="consultantplus://offline/ref=9A83E6380CB1E7A0A2B4C7E9FB9D37F13A0D2A51534519791DC43C0DDAC78D71356E82C5D44421A01EBE54F9D1D2EB94741617B871B3146E64s9M" TargetMode="External"/><Relationship Id="rId56" Type="http://schemas.openxmlformats.org/officeDocument/2006/relationships/hyperlink" Target="consultantplus://offline/ref=9A83E6380CB1E7A0A2B4C7E9FB9D37F13A0D2A51534519791DC43C0DDAC78D71356E82C5D44421A21FBE54F9D1D2EB94741617B871B3146E64s9M" TargetMode="External"/><Relationship Id="rId8" Type="http://schemas.openxmlformats.org/officeDocument/2006/relationships/hyperlink" Target="consultantplus://offline/ref=8C0EF73457F807E2FE7996A98214F28C7954527687482C0690E5BFDC6522F8CC13A589ED5D3370AC2AF599B8CD800DF5590675FC1AF37B28P95BG" TargetMode="External"/><Relationship Id="rId51" Type="http://schemas.openxmlformats.org/officeDocument/2006/relationships/hyperlink" Target="consultantplus://offline/ref=9A83E6380CB1E7A0A2B4C7E9FB9D37F13A0D2A51534519791DC43C0DDAC78D71356E82C5D44421A312BE54F9D1D2EB94741617B871B3146E64s9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CC9A96AC42949C6BB6A60F373E27A1386B2791FA7DC1BA2A5B0C3A030100A0E072DCE9D38C8B413FB80C8F990BBC79C5518DDE3E5E19FA6WDcFH" TargetMode="External"/><Relationship Id="rId17" Type="http://schemas.openxmlformats.org/officeDocument/2006/relationships/hyperlink" Target="consultantplus://offline/ref=6788DAC3CDD88D53F4ADDC5963CA55B7B18C8738598DADA7FDFE296E9B33034E717FB845C9442E28AC4E881B1BD1DFC442F4A34C51UEC6I" TargetMode="External"/><Relationship Id="rId25" Type="http://schemas.openxmlformats.org/officeDocument/2006/relationships/hyperlink" Target="consultantplus://offline/ref=04FBA879D0201350AB3F70CAC3E152536F35D2ABDEEC23AF77663CCEC0CDF72C213048EEE2CEC2CEC9CECA63D085B23AE07DD583194AF3E1B01CL" TargetMode="External"/><Relationship Id="rId33" Type="http://schemas.openxmlformats.org/officeDocument/2006/relationships/hyperlink" Target="consultantplus://offline/ref=FA59BF2138E2E7CA73276CEF5F82CE54B32B78E726D8BD55152375FF5B39C607387FA526768D31A0708376A316B268423A22C4187C99Q7W5G" TargetMode="External"/><Relationship Id="rId38" Type="http://schemas.openxmlformats.org/officeDocument/2006/relationships/hyperlink" Target="consultantplus://offline/ref=6A40B17563B42FFE07077D92EA697C3A2670C1264A880A69DAC7E5374D1185BD1696A7BCF63E0BBDED6E781053424E33A3BE936BD86703F8h4iAM" TargetMode="External"/><Relationship Id="rId46" Type="http://schemas.openxmlformats.org/officeDocument/2006/relationships/hyperlink" Target="consultantplus://offline/ref=9A83E6380CB1E7A0A2B4C7E9FB9D37F13A0D2A51534519791DC43C0DDAC78D71356E82C5D44421A313BE54F9D1D2EB94741617B871B3146E64s9M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2020-01-28T09:38:00Z</dcterms:created>
  <dcterms:modified xsi:type="dcterms:W3CDTF">2020-01-28T09:38:00Z</dcterms:modified>
</cp:coreProperties>
</file>