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8"/>
        <w:gridCol w:w="4849"/>
      </w:tblGrid>
      <w:tr w:rsidR="00C8393E" w:rsidRPr="009C1439" w:rsidTr="00C8393E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C8393E" w:rsidRPr="009C1439" w:rsidRDefault="00C8393E">
            <w:pPr>
              <w:spacing w:after="1" w:line="240" w:lineRule="atLeast"/>
            </w:pPr>
            <w:r w:rsidRPr="009C1439">
              <w:t>2 марта 2020 года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C8393E" w:rsidRPr="009C1439" w:rsidRDefault="00C8393E">
            <w:pPr>
              <w:spacing w:after="1" w:line="240" w:lineRule="atLeast"/>
              <w:jc w:val="right"/>
            </w:pPr>
            <w:r w:rsidRPr="009C1439">
              <w:t>N 16/2020-ОЗ</w:t>
            </w:r>
          </w:p>
        </w:tc>
      </w:tr>
    </w:tbl>
    <w:p w:rsidR="00C8393E" w:rsidRPr="009C1439" w:rsidRDefault="00C8393E">
      <w:pPr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8393E" w:rsidRPr="009C1439" w:rsidRDefault="00C8393E">
      <w:pPr>
        <w:spacing w:after="1" w:line="240" w:lineRule="atLeast"/>
        <w:jc w:val="center"/>
      </w:pPr>
      <w:r w:rsidRPr="009C1439">
        <w:rPr>
          <w:b/>
        </w:rPr>
        <w:t>ЗАКОН</w:t>
      </w:r>
    </w:p>
    <w:p w:rsidR="00C8393E" w:rsidRPr="009C1439" w:rsidRDefault="00C8393E">
      <w:pPr>
        <w:spacing w:after="1" w:line="240" w:lineRule="atLeast"/>
      </w:pPr>
    </w:p>
    <w:p w:rsidR="00C8393E" w:rsidRPr="009C1439" w:rsidRDefault="00C8393E">
      <w:pPr>
        <w:spacing w:after="1" w:line="240" w:lineRule="atLeast"/>
        <w:jc w:val="center"/>
      </w:pPr>
      <w:r w:rsidRPr="009C1439">
        <w:rPr>
          <w:b/>
        </w:rPr>
        <w:t>АСТРАХАНСКОЙ ОБЛАСТИ</w:t>
      </w:r>
    </w:p>
    <w:p w:rsidR="00C8393E" w:rsidRPr="009C1439" w:rsidRDefault="00C8393E">
      <w:pPr>
        <w:spacing w:after="1" w:line="240" w:lineRule="atLeast"/>
        <w:jc w:val="center"/>
      </w:pPr>
    </w:p>
    <w:p w:rsidR="00C8393E" w:rsidRPr="009C1439" w:rsidRDefault="00C8393E">
      <w:pPr>
        <w:spacing w:after="1" w:line="240" w:lineRule="atLeast"/>
        <w:jc w:val="center"/>
      </w:pPr>
      <w:r w:rsidRPr="009C1439">
        <w:rPr>
          <w:b/>
        </w:rPr>
        <w:t>О ВНЕСЕНИИ ИЗМЕНЕНИЙ В ЗАКОН АСТРАХАНСКОЙ ОБЛАСТИ</w:t>
      </w:r>
    </w:p>
    <w:p w:rsidR="00C8393E" w:rsidRPr="009C1439" w:rsidRDefault="00C8393E">
      <w:pPr>
        <w:spacing w:after="1" w:line="240" w:lineRule="atLeast"/>
        <w:jc w:val="center"/>
      </w:pPr>
      <w:r w:rsidRPr="009C1439">
        <w:rPr>
          <w:b/>
        </w:rPr>
        <w:t>"ОБ УСТАНОВЛЕНИИ ПОНИЖЕННОЙ СТАВКИ НАЛОГА НА ПРИБЫЛЬ</w:t>
      </w:r>
    </w:p>
    <w:p w:rsidR="00C8393E" w:rsidRPr="009C1439" w:rsidRDefault="00C8393E">
      <w:pPr>
        <w:spacing w:after="1" w:line="240" w:lineRule="atLeast"/>
        <w:jc w:val="center"/>
      </w:pPr>
      <w:r w:rsidRPr="009C1439">
        <w:rPr>
          <w:b/>
        </w:rPr>
        <w:t>ОРГАНИЗАЦИЙ ДЛЯ ОТДЕЛЬНЫХ КАТЕГОРИЙ НАЛОГОПЛАТЕЛЬЩИКОВ"</w:t>
      </w:r>
    </w:p>
    <w:p w:rsidR="00C8393E" w:rsidRPr="009C1439" w:rsidRDefault="00C8393E">
      <w:pPr>
        <w:spacing w:after="1" w:line="240" w:lineRule="atLeast"/>
        <w:jc w:val="center"/>
      </w:pPr>
    </w:p>
    <w:p w:rsidR="00C8393E" w:rsidRPr="009C1439" w:rsidRDefault="00C8393E">
      <w:pPr>
        <w:spacing w:after="1" w:line="240" w:lineRule="atLeast"/>
        <w:jc w:val="right"/>
      </w:pPr>
      <w:proofErr w:type="gramStart"/>
      <w:r w:rsidRPr="009C1439">
        <w:t>Принят</w:t>
      </w:r>
      <w:proofErr w:type="gramEnd"/>
    </w:p>
    <w:p w:rsidR="00C8393E" w:rsidRPr="009C1439" w:rsidRDefault="00C8393E">
      <w:pPr>
        <w:spacing w:after="1" w:line="240" w:lineRule="atLeast"/>
        <w:jc w:val="right"/>
      </w:pPr>
      <w:r w:rsidRPr="009C1439">
        <w:t>Думой</w:t>
      </w:r>
    </w:p>
    <w:p w:rsidR="00C8393E" w:rsidRPr="009C1439" w:rsidRDefault="00C8393E">
      <w:pPr>
        <w:spacing w:after="1" w:line="240" w:lineRule="atLeast"/>
        <w:jc w:val="right"/>
      </w:pPr>
      <w:r w:rsidRPr="009C1439">
        <w:t>Астраханской области</w:t>
      </w:r>
    </w:p>
    <w:p w:rsidR="00C8393E" w:rsidRPr="009C1439" w:rsidRDefault="00C8393E">
      <w:pPr>
        <w:spacing w:after="1" w:line="240" w:lineRule="atLeast"/>
        <w:jc w:val="right"/>
      </w:pPr>
      <w:r w:rsidRPr="009C1439">
        <w:t>20 февраля 2020 года</w:t>
      </w:r>
    </w:p>
    <w:p w:rsidR="00C8393E" w:rsidRPr="009C1439" w:rsidRDefault="00C8393E">
      <w:pPr>
        <w:spacing w:after="1" w:line="240" w:lineRule="atLeast"/>
        <w:ind w:firstLine="540"/>
      </w:pPr>
    </w:p>
    <w:p w:rsidR="00C8393E" w:rsidRPr="009C1439" w:rsidRDefault="00C8393E">
      <w:pPr>
        <w:spacing w:after="1" w:line="240" w:lineRule="atLeast"/>
        <w:ind w:firstLine="540"/>
        <w:outlineLvl w:val="0"/>
      </w:pPr>
      <w:r w:rsidRPr="009C1439">
        <w:rPr>
          <w:b/>
        </w:rPr>
        <w:t>Статья 1</w:t>
      </w:r>
    </w:p>
    <w:p w:rsidR="00C8393E" w:rsidRPr="009C1439" w:rsidRDefault="00C8393E">
      <w:pPr>
        <w:spacing w:after="1" w:line="240" w:lineRule="atLeast"/>
        <w:ind w:firstLine="540"/>
      </w:pPr>
    </w:p>
    <w:p w:rsidR="00C8393E" w:rsidRPr="009C1439" w:rsidRDefault="00C8393E" w:rsidP="00C8393E">
      <w:pPr>
        <w:spacing w:before="0" w:after="1" w:line="240" w:lineRule="atLeast"/>
        <w:ind w:firstLine="540"/>
      </w:pPr>
      <w:r w:rsidRPr="009C1439">
        <w:t xml:space="preserve">Внести в </w:t>
      </w:r>
      <w:hyperlink r:id="rId6" w:history="1">
        <w:r w:rsidRPr="009C1439">
          <w:t>Закон</w:t>
        </w:r>
      </w:hyperlink>
      <w:r w:rsidRPr="009C1439">
        <w:t xml:space="preserve"> Астраханской области от 16 ноября 2009 г. N 83/2009-ОЗ "Об установлении пониженной ставки налога на прибыль организаций для отдельных категорий налогоплательщиков" следующие изменения:</w:t>
      </w:r>
    </w:p>
    <w:p w:rsidR="00C8393E" w:rsidRPr="009C1439" w:rsidRDefault="00C8393E" w:rsidP="00C8393E">
      <w:pPr>
        <w:spacing w:before="0" w:after="1" w:line="240" w:lineRule="atLeast"/>
        <w:ind w:firstLine="540"/>
      </w:pPr>
      <w:r w:rsidRPr="009C1439">
        <w:t xml:space="preserve">1) </w:t>
      </w:r>
      <w:hyperlink r:id="rId7" w:history="1">
        <w:r w:rsidRPr="009C1439">
          <w:t>наименование</w:t>
        </w:r>
      </w:hyperlink>
      <w:r w:rsidRPr="009C1439">
        <w:t xml:space="preserve"> Закона изложить в следующей редакции:</w:t>
      </w:r>
    </w:p>
    <w:p w:rsidR="00C8393E" w:rsidRPr="009C1439" w:rsidRDefault="00C8393E" w:rsidP="00C8393E">
      <w:pPr>
        <w:spacing w:before="0" w:after="1" w:line="240" w:lineRule="atLeast"/>
        <w:ind w:firstLine="540"/>
      </w:pPr>
      <w:r w:rsidRPr="009C1439">
        <w:t>"О пониженной ставке налога на прибыль организаций для отдельных категорий налогоплательщиков, подлежащего зачислению в бюджет Астраханской области, и применении инвестиционного налогового вычета";</w:t>
      </w:r>
    </w:p>
    <w:p w:rsidR="00C8393E" w:rsidRPr="009C1439" w:rsidRDefault="00C8393E" w:rsidP="00C8393E">
      <w:pPr>
        <w:spacing w:before="0" w:after="1" w:line="240" w:lineRule="atLeast"/>
        <w:ind w:firstLine="540"/>
      </w:pPr>
      <w:r w:rsidRPr="009C1439">
        <w:t xml:space="preserve">2) </w:t>
      </w:r>
      <w:hyperlink r:id="rId8" w:history="1">
        <w:r w:rsidRPr="009C1439">
          <w:t>статью 1</w:t>
        </w:r>
      </w:hyperlink>
      <w:r w:rsidRPr="009C1439">
        <w:t xml:space="preserve"> дополнить словами ", а также регулирует отдельные отношения в сфере применения инвестиционного налогового вычета";</w:t>
      </w:r>
    </w:p>
    <w:p w:rsidR="00C8393E" w:rsidRPr="009C1439" w:rsidRDefault="00C8393E" w:rsidP="00C8393E">
      <w:pPr>
        <w:spacing w:before="0" w:after="1" w:line="240" w:lineRule="atLeast"/>
        <w:ind w:firstLine="540"/>
      </w:pPr>
      <w:r w:rsidRPr="009C1439">
        <w:t xml:space="preserve">3) в </w:t>
      </w:r>
      <w:hyperlink r:id="rId9" w:history="1">
        <w:r w:rsidRPr="009C1439">
          <w:t>части 5 статьи 2</w:t>
        </w:r>
      </w:hyperlink>
      <w:r w:rsidRPr="009C1439">
        <w:t xml:space="preserve"> цифры "2020" заменить цифрами "2022";</w:t>
      </w:r>
    </w:p>
    <w:p w:rsidR="00C8393E" w:rsidRPr="009C1439" w:rsidRDefault="00C8393E" w:rsidP="00C8393E">
      <w:pPr>
        <w:spacing w:before="0" w:after="1" w:line="240" w:lineRule="atLeast"/>
        <w:ind w:firstLine="540"/>
      </w:pPr>
      <w:r w:rsidRPr="009C1439">
        <w:t xml:space="preserve">4) </w:t>
      </w:r>
      <w:hyperlink r:id="rId10" w:history="1">
        <w:r w:rsidRPr="009C1439">
          <w:t>дополнить</w:t>
        </w:r>
      </w:hyperlink>
      <w:r w:rsidRPr="009C1439">
        <w:t xml:space="preserve"> статьей 2.1 следующего содержания:</w:t>
      </w:r>
    </w:p>
    <w:p w:rsidR="00C8393E" w:rsidRPr="009C1439" w:rsidRDefault="00C8393E" w:rsidP="00C8393E">
      <w:pPr>
        <w:spacing w:before="0" w:after="1" w:line="240" w:lineRule="atLeast"/>
        <w:ind w:firstLine="540"/>
      </w:pPr>
    </w:p>
    <w:p w:rsidR="00C8393E" w:rsidRPr="009C1439" w:rsidRDefault="00C8393E" w:rsidP="00C8393E">
      <w:pPr>
        <w:spacing w:before="0" w:after="1" w:line="240" w:lineRule="atLeast"/>
        <w:ind w:firstLine="540"/>
      </w:pPr>
      <w:r w:rsidRPr="009C1439">
        <w:t>"Статья 2.1. Инвестиционный налоговый вычет</w:t>
      </w:r>
    </w:p>
    <w:p w:rsidR="00C8393E" w:rsidRPr="009C1439" w:rsidRDefault="00C8393E" w:rsidP="00C8393E">
      <w:pPr>
        <w:spacing w:before="0" w:after="1" w:line="240" w:lineRule="atLeast"/>
        <w:ind w:firstLine="540"/>
      </w:pPr>
    </w:p>
    <w:p w:rsidR="00C8393E" w:rsidRPr="009C1439" w:rsidRDefault="00C8393E" w:rsidP="00C8393E">
      <w:pPr>
        <w:spacing w:before="0" w:after="1" w:line="240" w:lineRule="atLeast"/>
        <w:ind w:firstLine="540"/>
      </w:pPr>
      <w:bookmarkStart w:id="0" w:name="P28"/>
      <w:bookmarkEnd w:id="0"/>
      <w:r w:rsidRPr="009C1439">
        <w:t xml:space="preserve">1. Инвестиционный налоговый вычет в отношении расходов, указанных в </w:t>
      </w:r>
      <w:hyperlink r:id="rId11" w:history="1">
        <w:r w:rsidRPr="009C1439">
          <w:t>подпунктах 1</w:t>
        </w:r>
      </w:hyperlink>
      <w:r w:rsidRPr="009C1439">
        <w:t xml:space="preserve"> и </w:t>
      </w:r>
      <w:hyperlink r:id="rId12" w:history="1">
        <w:r w:rsidRPr="009C1439">
          <w:t>2 пункта 2 статьи 286.1</w:t>
        </w:r>
      </w:hyperlink>
      <w:r w:rsidRPr="009C1439">
        <w:t xml:space="preserve"> Налогового кодекса Российской Федерации, применяется к объектам основных средств, относящимся к организациям или обособленным подразделениям организаций, расположенным на территории Астраханской области, основным видом экономической деятельности (классифицируемым на основании кодов видов деятельности в соответствии с Общероссийским </w:t>
      </w:r>
      <w:hyperlink r:id="rId13" w:history="1">
        <w:r w:rsidRPr="009C1439">
          <w:t>классификатором</w:t>
        </w:r>
      </w:hyperlink>
      <w:r w:rsidRPr="009C1439">
        <w:t xml:space="preserve"> видов экономической деятельности </w:t>
      </w:r>
      <w:proofErr w:type="gramStart"/>
      <w:r w:rsidRPr="009C1439">
        <w:t>ОК</w:t>
      </w:r>
      <w:proofErr w:type="gramEnd"/>
      <w:r w:rsidRPr="009C1439">
        <w:t xml:space="preserve"> 029-2014) которых являются виды экономической деятельности, включенные в раздел "Обрабатывающие производства", за исключением класса "Производство прочей неметаллической минеральной продукции" и видов экономической деятельности по производству подакцизных товаров.</w:t>
      </w:r>
    </w:p>
    <w:p w:rsidR="00C8393E" w:rsidRPr="009C1439" w:rsidRDefault="00C8393E" w:rsidP="00C8393E">
      <w:pPr>
        <w:spacing w:before="0" w:after="1" w:line="240" w:lineRule="atLeast"/>
        <w:ind w:firstLine="540"/>
      </w:pPr>
      <w:r w:rsidRPr="009C1439">
        <w:t xml:space="preserve">2. Вид экономической деятельности организации, указанный в </w:t>
      </w:r>
      <w:hyperlink w:anchor="P28" w:history="1">
        <w:r w:rsidRPr="009C1439">
          <w:t>части 1</w:t>
        </w:r>
      </w:hyperlink>
      <w:r w:rsidRPr="009C1439">
        <w:t xml:space="preserve"> настоящей статьи, считается основным при условии, что доля доходов от осуществления такого вида деятельности по итогам предыдущего налогового (отчетного) периода составляет не менее 70 процентов в общей сумме доходов.</w:t>
      </w:r>
    </w:p>
    <w:p w:rsidR="00C8393E" w:rsidRPr="009C1439" w:rsidRDefault="00C8393E" w:rsidP="00C8393E">
      <w:pPr>
        <w:spacing w:before="0" w:after="1" w:line="240" w:lineRule="atLeast"/>
        <w:ind w:firstLine="540"/>
      </w:pPr>
      <w:r w:rsidRPr="009C1439">
        <w:t xml:space="preserve">3. </w:t>
      </w:r>
      <w:proofErr w:type="gramStart"/>
      <w:r w:rsidRPr="009C1439">
        <w:t xml:space="preserve">Право на применение инвестиционного налогового вычета предоставляется в отношении объектов основных средств, относящихся к подразделу "Машины и оборудование" третьей - десятой амортизационных групп согласно </w:t>
      </w:r>
      <w:hyperlink r:id="rId14" w:history="1">
        <w:r w:rsidRPr="009C1439">
          <w:t>Классификации</w:t>
        </w:r>
      </w:hyperlink>
      <w:r w:rsidRPr="009C1439"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 "О Классификации основных </w:t>
      </w:r>
      <w:r w:rsidRPr="009C1439">
        <w:lastRenderedPageBreak/>
        <w:t>средств, включаемых в амортизационные группы" (далее - Классификация основных средств, включаемых в амортизационные группы), за исключением</w:t>
      </w:r>
      <w:proofErr w:type="gramEnd"/>
      <w:r w:rsidRPr="009C1439">
        <w:t xml:space="preserve"> объектов основных средств, </w:t>
      </w:r>
      <w:proofErr w:type="gramStart"/>
      <w:r w:rsidRPr="009C1439">
        <w:t>с даты выпуска</w:t>
      </w:r>
      <w:proofErr w:type="gramEnd"/>
      <w:r w:rsidRPr="009C1439">
        <w:t xml:space="preserve"> которых прошло более 5 лет, а также приобретенных у лиц, признаваемых в соответствии с положениями </w:t>
      </w:r>
      <w:hyperlink r:id="rId15" w:history="1">
        <w:r w:rsidRPr="009C1439">
          <w:t>пункта 2 статьи 105.1</w:t>
        </w:r>
      </w:hyperlink>
      <w:r w:rsidRPr="009C1439">
        <w:t xml:space="preserve"> Налогового кодекса Российской Федерации взаимозависимыми.</w:t>
      </w:r>
    </w:p>
    <w:p w:rsidR="00C8393E" w:rsidRPr="009C1439" w:rsidRDefault="00C8393E" w:rsidP="00C8393E">
      <w:pPr>
        <w:spacing w:before="0" w:after="1" w:line="240" w:lineRule="atLeast"/>
        <w:ind w:firstLine="540"/>
      </w:pPr>
      <w:bookmarkStart w:id="1" w:name="P31"/>
      <w:bookmarkEnd w:id="1"/>
      <w:r w:rsidRPr="009C1439">
        <w:t xml:space="preserve">4. </w:t>
      </w:r>
      <w:proofErr w:type="gramStart"/>
      <w:r w:rsidRPr="009C1439">
        <w:t xml:space="preserve">Размер инвестиционного налогового вычета текущего налогового (отчетного) периода составляет 90 процентов суммы расходов, составляющей первоначальную стоимость основного средства в соответствии с </w:t>
      </w:r>
      <w:hyperlink r:id="rId16" w:history="1">
        <w:r w:rsidRPr="009C1439">
          <w:t>абзацем вторым пункта 1 статьи 257</w:t>
        </w:r>
      </w:hyperlink>
      <w:r w:rsidRPr="009C1439">
        <w:t xml:space="preserve"> Налогового кодекса Российской Федерации, и 90 процентов суммы расходов, составляющей величину изменения первоначальной стоимости основного средства в случаях, указанных в </w:t>
      </w:r>
      <w:hyperlink r:id="rId17" w:history="1">
        <w:r w:rsidRPr="009C1439">
          <w:t>пункте 2 статьи 257</w:t>
        </w:r>
      </w:hyperlink>
      <w:r w:rsidRPr="009C1439">
        <w:t xml:space="preserve"> Налогового кодекса Российской Федерации (за исключением частичной ликвидации основного</w:t>
      </w:r>
      <w:proofErr w:type="gramEnd"/>
      <w:r w:rsidRPr="009C1439">
        <w:t xml:space="preserve"> </w:t>
      </w:r>
      <w:proofErr w:type="gramStart"/>
      <w:r w:rsidRPr="009C1439">
        <w:t xml:space="preserve">средства), осуществленных налогоплательщиком в текущем налоговом (отчетном) периоде в объекты основных средств, относящихся к подразделу "Машины и оборудование" третьей - десятой амортизационных групп согласно Классификации основных средств, включаемых в амортизационные группы, учитываемые на балансе организации или обособленного подразделения, которые расположены на территории Астраханской области, но не более предельной величины инвестиционного налогового вычета, определяемой в соответствии с </w:t>
      </w:r>
      <w:hyperlink r:id="rId18" w:history="1">
        <w:r w:rsidRPr="009C1439">
          <w:t>пунктом 2.1 статьи 286.1</w:t>
        </w:r>
      </w:hyperlink>
      <w:r w:rsidRPr="009C1439">
        <w:t xml:space="preserve"> Налогового</w:t>
      </w:r>
      <w:proofErr w:type="gramEnd"/>
      <w:r w:rsidRPr="009C1439">
        <w:t xml:space="preserve"> кодекса Российской Федерации.</w:t>
      </w:r>
    </w:p>
    <w:p w:rsidR="00C8393E" w:rsidRPr="009C1439" w:rsidRDefault="00C8393E" w:rsidP="00C8393E">
      <w:pPr>
        <w:spacing w:before="0" w:after="1" w:line="240" w:lineRule="atLeast"/>
        <w:ind w:firstLine="540"/>
      </w:pPr>
      <w:proofErr w:type="gramStart"/>
      <w:r w:rsidRPr="009C1439">
        <w:t xml:space="preserve">Размер инвестиционного налогового вычета, рассчитанный в соответствии с </w:t>
      </w:r>
      <w:hyperlink w:anchor="P31" w:history="1">
        <w:r w:rsidRPr="009C1439">
          <w:t>абзацем первым</w:t>
        </w:r>
      </w:hyperlink>
      <w:r w:rsidRPr="009C1439">
        <w:t xml:space="preserve"> настоящей части, в сумме, превышающей в текущем налоговом (отчетном) периоде предельную величину инвестиционного налогового вычета, определяемую в соответствии с </w:t>
      </w:r>
      <w:hyperlink r:id="rId19" w:history="1">
        <w:r w:rsidRPr="009C1439">
          <w:t>пунктом 2.1 статьи 286.1</w:t>
        </w:r>
      </w:hyperlink>
      <w:r w:rsidRPr="009C1439">
        <w:t xml:space="preserve"> Налогового кодекса Российской Федерации, может быть учтен налогоплательщиком при определении инвестиционного налогового вычета в последующих налоговых (отчетных) периодах.</w:t>
      </w:r>
      <w:proofErr w:type="gramEnd"/>
    </w:p>
    <w:p w:rsidR="00C8393E" w:rsidRPr="009C1439" w:rsidRDefault="00C8393E" w:rsidP="00C8393E">
      <w:pPr>
        <w:spacing w:before="0" w:after="1" w:line="240" w:lineRule="atLeast"/>
        <w:ind w:firstLine="540"/>
      </w:pPr>
      <w:r w:rsidRPr="009C1439">
        <w:t>5. Размер ставки налога для определения предельной величины инвестиционного налогового вычета составляет 5 процентов.</w:t>
      </w:r>
    </w:p>
    <w:p w:rsidR="00C8393E" w:rsidRPr="009C1439" w:rsidRDefault="00C8393E" w:rsidP="00C8393E">
      <w:pPr>
        <w:spacing w:before="0" w:after="1" w:line="240" w:lineRule="atLeast"/>
        <w:ind w:firstLine="540"/>
      </w:pPr>
      <w:r w:rsidRPr="009C1439">
        <w:t>6. Инвестиционный налоговый вычет не вправе применять организации или обособленные подразделения организаций, осуществляющие реализацию проектов, имеющих статус "особо важный инвестиционный проект"</w:t>
      </w:r>
      <w:proofErr w:type="gramStart"/>
      <w:r w:rsidRPr="009C1439">
        <w:t>."</w:t>
      </w:r>
      <w:proofErr w:type="gramEnd"/>
      <w:r w:rsidRPr="009C1439">
        <w:t>.</w:t>
      </w:r>
    </w:p>
    <w:p w:rsidR="00C8393E" w:rsidRPr="009C1439" w:rsidRDefault="00C8393E" w:rsidP="00C8393E">
      <w:pPr>
        <w:spacing w:before="0" w:after="1" w:line="240" w:lineRule="atLeast"/>
        <w:ind w:firstLine="540"/>
      </w:pPr>
    </w:p>
    <w:p w:rsidR="00C8393E" w:rsidRPr="009C1439" w:rsidRDefault="00C8393E" w:rsidP="00C8393E">
      <w:pPr>
        <w:spacing w:before="0" w:after="1" w:line="240" w:lineRule="atLeast"/>
        <w:ind w:firstLine="540"/>
        <w:outlineLvl w:val="0"/>
      </w:pPr>
      <w:r w:rsidRPr="009C1439">
        <w:rPr>
          <w:b/>
        </w:rPr>
        <w:t>Статья 2</w:t>
      </w:r>
    </w:p>
    <w:p w:rsidR="00C8393E" w:rsidRPr="009C1439" w:rsidRDefault="00C8393E" w:rsidP="00C8393E">
      <w:pPr>
        <w:spacing w:before="0" w:after="1" w:line="240" w:lineRule="atLeast"/>
        <w:ind w:firstLine="540"/>
      </w:pPr>
    </w:p>
    <w:p w:rsidR="00C8393E" w:rsidRPr="009C1439" w:rsidRDefault="00C8393E" w:rsidP="00C8393E">
      <w:pPr>
        <w:spacing w:before="0" w:after="1" w:line="240" w:lineRule="atLeast"/>
        <w:ind w:firstLine="540"/>
      </w:pPr>
      <w:r w:rsidRPr="009C1439">
        <w:t>Настоящий Закон вступает в силу на следующий день после дня его официального опубликования и распространяется на правоотношения, возникшие с 1 января 2020 года.</w:t>
      </w:r>
    </w:p>
    <w:p w:rsidR="00C8393E" w:rsidRPr="009C1439" w:rsidRDefault="00C8393E" w:rsidP="00C8393E">
      <w:pPr>
        <w:spacing w:before="0" w:after="1" w:line="240" w:lineRule="atLeast"/>
        <w:jc w:val="right"/>
      </w:pPr>
    </w:p>
    <w:p w:rsidR="00C8393E" w:rsidRPr="009C1439" w:rsidRDefault="00C8393E" w:rsidP="00C8393E">
      <w:pPr>
        <w:spacing w:before="0" w:after="1" w:line="240" w:lineRule="atLeast"/>
        <w:jc w:val="right"/>
      </w:pPr>
      <w:r w:rsidRPr="009C1439">
        <w:t>Губернатор Астраханской области</w:t>
      </w:r>
    </w:p>
    <w:p w:rsidR="00C8393E" w:rsidRPr="009C1439" w:rsidRDefault="00C8393E" w:rsidP="00C8393E">
      <w:pPr>
        <w:spacing w:before="0" w:after="1" w:line="240" w:lineRule="atLeast"/>
        <w:jc w:val="right"/>
      </w:pPr>
      <w:r w:rsidRPr="009C1439">
        <w:t>И.Ю.Б</w:t>
      </w:r>
      <w:r w:rsidR="009C1439">
        <w:t>абушкин</w:t>
      </w:r>
      <w:bookmarkStart w:id="2" w:name="_GoBack"/>
      <w:bookmarkEnd w:id="2"/>
    </w:p>
    <w:p w:rsidR="00C8393E" w:rsidRPr="009C1439" w:rsidRDefault="00C8393E" w:rsidP="00C8393E">
      <w:pPr>
        <w:spacing w:before="0" w:after="1" w:line="240" w:lineRule="atLeast"/>
        <w:ind w:firstLine="540"/>
      </w:pPr>
      <w:r w:rsidRPr="009C1439">
        <w:t>г. Астрахань</w:t>
      </w:r>
    </w:p>
    <w:p w:rsidR="00C8393E" w:rsidRPr="009C1439" w:rsidRDefault="00C8393E" w:rsidP="00C8393E">
      <w:pPr>
        <w:spacing w:before="0" w:after="1" w:line="240" w:lineRule="atLeast"/>
        <w:ind w:firstLine="540"/>
      </w:pPr>
      <w:r w:rsidRPr="009C1439">
        <w:t>2 марта 2020 г.</w:t>
      </w:r>
    </w:p>
    <w:p w:rsidR="00C8393E" w:rsidRPr="009C1439" w:rsidRDefault="00C8393E" w:rsidP="00CD63A7">
      <w:pPr>
        <w:spacing w:before="0" w:after="1" w:line="240" w:lineRule="atLeast"/>
        <w:ind w:firstLine="540"/>
        <w:rPr>
          <w:lang w:val="en-US"/>
        </w:rPr>
      </w:pPr>
      <w:r w:rsidRPr="009C1439">
        <w:t>Рег. N 16/2020-ОЗ</w:t>
      </w:r>
    </w:p>
    <w:p w:rsidR="00C8393E" w:rsidRPr="009C1439" w:rsidRDefault="00C8393E">
      <w:pPr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66E1B" w:rsidRPr="009C1439" w:rsidRDefault="00C66E1B" w:rsidP="00C8393E"/>
    <w:sectPr w:rsidR="00C66E1B" w:rsidRPr="009C1439" w:rsidSect="00EC3E65">
      <w:pgSz w:w="11905" w:h="16838"/>
      <w:pgMar w:top="282" w:right="905" w:bottom="624" w:left="130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70"/>
    <w:rsid w:val="00004D22"/>
    <w:rsid w:val="000117CF"/>
    <w:rsid w:val="000163A5"/>
    <w:rsid w:val="00023FDC"/>
    <w:rsid w:val="00025103"/>
    <w:rsid w:val="00040C33"/>
    <w:rsid w:val="00062CA8"/>
    <w:rsid w:val="000653FB"/>
    <w:rsid w:val="00074BFC"/>
    <w:rsid w:val="00080E8E"/>
    <w:rsid w:val="00093E96"/>
    <w:rsid w:val="000F0648"/>
    <w:rsid w:val="00117932"/>
    <w:rsid w:val="00126B3A"/>
    <w:rsid w:val="00157A78"/>
    <w:rsid w:val="00160867"/>
    <w:rsid w:val="001775B7"/>
    <w:rsid w:val="001844F9"/>
    <w:rsid w:val="001920E3"/>
    <w:rsid w:val="001A4C20"/>
    <w:rsid w:val="001A512B"/>
    <w:rsid w:val="001A6499"/>
    <w:rsid w:val="001C1638"/>
    <w:rsid w:val="001C45D6"/>
    <w:rsid w:val="001D1F3F"/>
    <w:rsid w:val="001D2459"/>
    <w:rsid w:val="001F21B5"/>
    <w:rsid w:val="00204061"/>
    <w:rsid w:val="00213D5B"/>
    <w:rsid w:val="002315AF"/>
    <w:rsid w:val="00237A5C"/>
    <w:rsid w:val="00237B58"/>
    <w:rsid w:val="0024079D"/>
    <w:rsid w:val="00244B60"/>
    <w:rsid w:val="00256865"/>
    <w:rsid w:val="00264288"/>
    <w:rsid w:val="00282C19"/>
    <w:rsid w:val="00284357"/>
    <w:rsid w:val="00291355"/>
    <w:rsid w:val="002C4A34"/>
    <w:rsid w:val="002D1A19"/>
    <w:rsid w:val="002D3FE2"/>
    <w:rsid w:val="002E3609"/>
    <w:rsid w:val="002F06F4"/>
    <w:rsid w:val="002F167D"/>
    <w:rsid w:val="002F247D"/>
    <w:rsid w:val="00300428"/>
    <w:rsid w:val="0030382D"/>
    <w:rsid w:val="00303877"/>
    <w:rsid w:val="003268B2"/>
    <w:rsid w:val="0039318F"/>
    <w:rsid w:val="0039397B"/>
    <w:rsid w:val="003A0FFF"/>
    <w:rsid w:val="003C0E88"/>
    <w:rsid w:val="003D4DF0"/>
    <w:rsid w:val="00400788"/>
    <w:rsid w:val="004029DE"/>
    <w:rsid w:val="00405CD6"/>
    <w:rsid w:val="004118B8"/>
    <w:rsid w:val="00413C8C"/>
    <w:rsid w:val="00413F49"/>
    <w:rsid w:val="00427FB3"/>
    <w:rsid w:val="0043183E"/>
    <w:rsid w:val="00432BFA"/>
    <w:rsid w:val="004378B3"/>
    <w:rsid w:val="00465D2F"/>
    <w:rsid w:val="004771E9"/>
    <w:rsid w:val="004924DF"/>
    <w:rsid w:val="00496F54"/>
    <w:rsid w:val="004A5063"/>
    <w:rsid w:val="004B20CA"/>
    <w:rsid w:val="004B24C7"/>
    <w:rsid w:val="004E7030"/>
    <w:rsid w:val="005017C3"/>
    <w:rsid w:val="00514A8D"/>
    <w:rsid w:val="00517EB5"/>
    <w:rsid w:val="005247AF"/>
    <w:rsid w:val="00545F74"/>
    <w:rsid w:val="0056106C"/>
    <w:rsid w:val="0056158D"/>
    <w:rsid w:val="00570A31"/>
    <w:rsid w:val="00595CEA"/>
    <w:rsid w:val="005B0791"/>
    <w:rsid w:val="005B1B82"/>
    <w:rsid w:val="005B22ED"/>
    <w:rsid w:val="005C42C7"/>
    <w:rsid w:val="005D07EB"/>
    <w:rsid w:val="005D3542"/>
    <w:rsid w:val="005F7E0D"/>
    <w:rsid w:val="00605EF7"/>
    <w:rsid w:val="00631642"/>
    <w:rsid w:val="00640029"/>
    <w:rsid w:val="00646C3C"/>
    <w:rsid w:val="00650657"/>
    <w:rsid w:val="006529F0"/>
    <w:rsid w:val="006647FC"/>
    <w:rsid w:val="006E45E9"/>
    <w:rsid w:val="00713BF4"/>
    <w:rsid w:val="00727437"/>
    <w:rsid w:val="00752933"/>
    <w:rsid w:val="00766810"/>
    <w:rsid w:val="00772180"/>
    <w:rsid w:val="00776DC1"/>
    <w:rsid w:val="0077742E"/>
    <w:rsid w:val="00784432"/>
    <w:rsid w:val="007A0003"/>
    <w:rsid w:val="007A09D2"/>
    <w:rsid w:val="007B4B12"/>
    <w:rsid w:val="007C2ADB"/>
    <w:rsid w:val="007D49AE"/>
    <w:rsid w:val="007F131C"/>
    <w:rsid w:val="00804913"/>
    <w:rsid w:val="00822A93"/>
    <w:rsid w:val="00825E70"/>
    <w:rsid w:val="00841193"/>
    <w:rsid w:val="00845D09"/>
    <w:rsid w:val="008460E1"/>
    <w:rsid w:val="00846459"/>
    <w:rsid w:val="008517EF"/>
    <w:rsid w:val="008525C6"/>
    <w:rsid w:val="00857A0B"/>
    <w:rsid w:val="00871F8F"/>
    <w:rsid w:val="00874FAA"/>
    <w:rsid w:val="008778C6"/>
    <w:rsid w:val="00887180"/>
    <w:rsid w:val="008A2468"/>
    <w:rsid w:val="008B4D11"/>
    <w:rsid w:val="008C1802"/>
    <w:rsid w:val="008C31E6"/>
    <w:rsid w:val="008C7EDF"/>
    <w:rsid w:val="008F45B6"/>
    <w:rsid w:val="009004CB"/>
    <w:rsid w:val="00910743"/>
    <w:rsid w:val="00920CEC"/>
    <w:rsid w:val="0093139E"/>
    <w:rsid w:val="00950C1A"/>
    <w:rsid w:val="0095327F"/>
    <w:rsid w:val="00954A57"/>
    <w:rsid w:val="009552E0"/>
    <w:rsid w:val="00967BBA"/>
    <w:rsid w:val="009705EB"/>
    <w:rsid w:val="0097158C"/>
    <w:rsid w:val="00974179"/>
    <w:rsid w:val="009A788C"/>
    <w:rsid w:val="009C1439"/>
    <w:rsid w:val="009C3A05"/>
    <w:rsid w:val="009C6620"/>
    <w:rsid w:val="009D6845"/>
    <w:rsid w:val="009E24B7"/>
    <w:rsid w:val="009E28BE"/>
    <w:rsid w:val="009E3496"/>
    <w:rsid w:val="009E6575"/>
    <w:rsid w:val="009E662C"/>
    <w:rsid w:val="009F1E2A"/>
    <w:rsid w:val="00A03315"/>
    <w:rsid w:val="00A114D1"/>
    <w:rsid w:val="00A142A0"/>
    <w:rsid w:val="00A150ED"/>
    <w:rsid w:val="00A15446"/>
    <w:rsid w:val="00A31918"/>
    <w:rsid w:val="00A3520E"/>
    <w:rsid w:val="00A409DD"/>
    <w:rsid w:val="00A549B1"/>
    <w:rsid w:val="00A60D51"/>
    <w:rsid w:val="00A62701"/>
    <w:rsid w:val="00A64534"/>
    <w:rsid w:val="00A64A95"/>
    <w:rsid w:val="00A715A4"/>
    <w:rsid w:val="00A82F29"/>
    <w:rsid w:val="00AA64BB"/>
    <w:rsid w:val="00AC3952"/>
    <w:rsid w:val="00AC424D"/>
    <w:rsid w:val="00AC5050"/>
    <w:rsid w:val="00AD670E"/>
    <w:rsid w:val="00AF053C"/>
    <w:rsid w:val="00B116C3"/>
    <w:rsid w:val="00B13E32"/>
    <w:rsid w:val="00B337D0"/>
    <w:rsid w:val="00B5246F"/>
    <w:rsid w:val="00B72158"/>
    <w:rsid w:val="00B75FDC"/>
    <w:rsid w:val="00BA424B"/>
    <w:rsid w:val="00BA7328"/>
    <w:rsid w:val="00BC1506"/>
    <w:rsid w:val="00BC2B3F"/>
    <w:rsid w:val="00BC52C3"/>
    <w:rsid w:val="00BC7577"/>
    <w:rsid w:val="00BD03FC"/>
    <w:rsid w:val="00BF1072"/>
    <w:rsid w:val="00BF58A8"/>
    <w:rsid w:val="00C0305E"/>
    <w:rsid w:val="00C250EE"/>
    <w:rsid w:val="00C34172"/>
    <w:rsid w:val="00C375D2"/>
    <w:rsid w:val="00C448F1"/>
    <w:rsid w:val="00C6127E"/>
    <w:rsid w:val="00C66E1B"/>
    <w:rsid w:val="00C8393E"/>
    <w:rsid w:val="00CA47B1"/>
    <w:rsid w:val="00CA5C4A"/>
    <w:rsid w:val="00CB1667"/>
    <w:rsid w:val="00CB47CB"/>
    <w:rsid w:val="00CB712F"/>
    <w:rsid w:val="00CD2F9A"/>
    <w:rsid w:val="00CD63A7"/>
    <w:rsid w:val="00CF2DAF"/>
    <w:rsid w:val="00D1306A"/>
    <w:rsid w:val="00D326B1"/>
    <w:rsid w:val="00D432C6"/>
    <w:rsid w:val="00D86165"/>
    <w:rsid w:val="00D86238"/>
    <w:rsid w:val="00D943F6"/>
    <w:rsid w:val="00DA199E"/>
    <w:rsid w:val="00DB5416"/>
    <w:rsid w:val="00DD570E"/>
    <w:rsid w:val="00DE03D4"/>
    <w:rsid w:val="00DF1F2D"/>
    <w:rsid w:val="00DF650C"/>
    <w:rsid w:val="00E051EE"/>
    <w:rsid w:val="00E13A4A"/>
    <w:rsid w:val="00E17CDE"/>
    <w:rsid w:val="00E231EB"/>
    <w:rsid w:val="00E30356"/>
    <w:rsid w:val="00E6684A"/>
    <w:rsid w:val="00EA7F1B"/>
    <w:rsid w:val="00EB0554"/>
    <w:rsid w:val="00ED125A"/>
    <w:rsid w:val="00ED47AD"/>
    <w:rsid w:val="00F03069"/>
    <w:rsid w:val="00F161A5"/>
    <w:rsid w:val="00F21ED4"/>
    <w:rsid w:val="00F27B48"/>
    <w:rsid w:val="00F31170"/>
    <w:rsid w:val="00F31B6C"/>
    <w:rsid w:val="00F51938"/>
    <w:rsid w:val="00F87935"/>
    <w:rsid w:val="00F87AD0"/>
    <w:rsid w:val="00F93923"/>
    <w:rsid w:val="00F9619D"/>
    <w:rsid w:val="00FA0EF4"/>
    <w:rsid w:val="00FB0D7D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F4"/>
    <w:pPr>
      <w:autoSpaceDE w:val="0"/>
      <w:autoSpaceDN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163A5"/>
    <w:pPr>
      <w:ind w:left="720"/>
      <w:contextualSpacing/>
    </w:pPr>
  </w:style>
  <w:style w:type="table" w:styleId="a4">
    <w:name w:val="Table Grid"/>
    <w:basedOn w:val="a1"/>
    <w:uiPriority w:val="59"/>
    <w:rsid w:val="00303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aliases w:val="ВерхКолонтитул"/>
    <w:basedOn w:val="a"/>
    <w:link w:val="a6"/>
    <w:uiPriority w:val="99"/>
    <w:rsid w:val="00413C8C"/>
    <w:pPr>
      <w:tabs>
        <w:tab w:val="center" w:pos="4677"/>
        <w:tab w:val="right" w:pos="9355"/>
      </w:tabs>
      <w:autoSpaceDE/>
      <w:autoSpaceDN/>
      <w:spacing w:before="0"/>
      <w:ind w:firstLine="0"/>
      <w:jc w:val="left"/>
    </w:pPr>
    <w:rPr>
      <w:sz w:val="28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413C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CB71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F4"/>
    <w:pPr>
      <w:autoSpaceDE w:val="0"/>
      <w:autoSpaceDN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163A5"/>
    <w:pPr>
      <w:ind w:left="720"/>
      <w:contextualSpacing/>
    </w:pPr>
  </w:style>
  <w:style w:type="table" w:styleId="a4">
    <w:name w:val="Table Grid"/>
    <w:basedOn w:val="a1"/>
    <w:uiPriority w:val="59"/>
    <w:rsid w:val="00303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aliases w:val="ВерхКолонтитул"/>
    <w:basedOn w:val="a"/>
    <w:link w:val="a6"/>
    <w:uiPriority w:val="99"/>
    <w:rsid w:val="00413C8C"/>
    <w:pPr>
      <w:tabs>
        <w:tab w:val="center" w:pos="4677"/>
        <w:tab w:val="right" w:pos="9355"/>
      </w:tabs>
      <w:autoSpaceDE/>
      <w:autoSpaceDN/>
      <w:spacing w:before="0"/>
      <w:ind w:firstLine="0"/>
      <w:jc w:val="left"/>
    </w:pPr>
    <w:rPr>
      <w:sz w:val="28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413C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CB7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976E20A211E70BB7CED7ABD93E10349B8B152DB21667DE349C62B8E9CB340A08FA52F8C6B20AAECA7FC1EFA8D64509DCEE0C8C959B544B9BDE0MEk0F" TargetMode="External"/><Relationship Id="rId13" Type="http://schemas.openxmlformats.org/officeDocument/2006/relationships/hyperlink" Target="consultantplus://offline/ref=D4B976E20A211E70BB7CF377ABFFBC0C48B7EF58DB2C6B23BE169D76D995B917E7C0FC6DC86621AAEFACA848B58C3816C8DDE2CBC95BB658MBkBF" TargetMode="External"/><Relationship Id="rId18" Type="http://schemas.openxmlformats.org/officeDocument/2006/relationships/hyperlink" Target="consultantplus://offline/ref=D4B976E20A211E70BB7CF377ABFFBC0C48B7ED5CDA286B23BE169D76D995B917E7C0FC6DCF6623ABE7F3AD5DA4D43714D6C3E1D6D559B4M5kA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4B976E20A211E70BB7CED7ABD93E10349B8B152DB21667DE349C62B8E9CB340A08FA52F8C6B20AAECA7FC1CFA8D64509DCEE0C8C959B544B9BDE0MEk0F" TargetMode="External"/><Relationship Id="rId12" Type="http://schemas.openxmlformats.org/officeDocument/2006/relationships/hyperlink" Target="consultantplus://offline/ref=D4B976E20A211E70BB7CF377ABFFBC0C48B7ED5CDA286B23BE169D76D995B917E7C0FC6DCF6122A2E7F3AD5DA4D43714D6C3E1D6D559B4M5kAF" TargetMode="External"/><Relationship Id="rId17" Type="http://schemas.openxmlformats.org/officeDocument/2006/relationships/hyperlink" Target="consultantplus://offline/ref=D4B976E20A211E70BB7CF377ABFFBC0C48B7ED5CDA286B23BE169D76D995B917E7C0FC6DC86421A2EDACA848B58C3816C8DDE2CBC95BB658MBk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4B976E20A211E70BB7CF377ABFFBC0C48B7ED5CDA286B23BE169D76D995B917E7C0FC68CA6121A1B8F6B84CFCDB350AC8C0FCCAD75BMBk6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B976E20A211E70BB7CED7ABD93E10349B8B152DB21667DE349C62B8E9CB340A08FA53D8C332CA8ECB9FC1AEFDB3516MCk8F" TargetMode="External"/><Relationship Id="rId11" Type="http://schemas.openxmlformats.org/officeDocument/2006/relationships/hyperlink" Target="consultantplus://offline/ref=D4B976E20A211E70BB7CF377ABFFBC0C48B7ED5CDA286B23BE169D76D995B917E7C0FC6DCF6122ADE7F3AD5DA4D43714D6C3E1D6D559B4M5k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B976E20A211E70BB7CF377ABFFBC0C48B7EB5FDB2D6B23BE169D76D995B917E7C0FC6DCD6723A1B8F6B84CFCDB350AC8C0FCCAD75BMBk6F" TargetMode="External"/><Relationship Id="rId10" Type="http://schemas.openxmlformats.org/officeDocument/2006/relationships/hyperlink" Target="consultantplus://offline/ref=D4B976E20A211E70BB7CED7ABD93E10349B8B152DB21667DE349C62B8E9CB340A08FA53D8C332CA8ECB9FC1AEFDB3516MCk8F" TargetMode="External"/><Relationship Id="rId19" Type="http://schemas.openxmlformats.org/officeDocument/2006/relationships/hyperlink" Target="consultantplus://offline/ref=D4B976E20A211E70BB7CF377ABFFBC0C48B7ED5CDA286B23BE169D76D995B917E7C0FC6DCF6623ABE7F3AD5DA4D43714D6C3E1D6D559B4M5k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976E20A211E70BB7CED7ABD93E10349B8B152DB21667DE349C62B8E9CB340A08FA52F8C6B20A2E7F3AD5DA4D43714D6C3E1D6D559B4M5kAF" TargetMode="External"/><Relationship Id="rId14" Type="http://schemas.openxmlformats.org/officeDocument/2006/relationships/hyperlink" Target="consultantplus://offline/ref=D4B976E20A211E70BB7CF377ABFFBC0C48B7ED5CDF216B23BE169D76D995B917E7C0FC6FCF6E2AFEBDE3A914F3D92B14CBDDE0C8D5M5k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8FD4F-AED3-46F8-8151-2CBEB964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Ефремовна Акишина</dc:creator>
  <cp:lastModifiedBy>user01</cp:lastModifiedBy>
  <cp:revision>36</cp:revision>
  <cp:lastPrinted>2019-01-22T12:04:00Z</cp:lastPrinted>
  <dcterms:created xsi:type="dcterms:W3CDTF">2019-04-01T10:29:00Z</dcterms:created>
  <dcterms:modified xsi:type="dcterms:W3CDTF">2020-03-23T07:17:00Z</dcterms:modified>
</cp:coreProperties>
</file>