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A6" w:rsidRPr="008F4258" w:rsidRDefault="004A49A6" w:rsidP="004A49A6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A6" w:rsidRDefault="004A49A6" w:rsidP="004A49A6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</w:p>
    <w:p w:rsidR="004A49A6" w:rsidRDefault="004A49A6" w:rsidP="004A49A6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425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№10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A6" w:rsidRPr="008F4258" w:rsidRDefault="004A49A6" w:rsidP="004A49A6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4A49A6" w:rsidRDefault="004A49A6" w:rsidP="004A49A6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 w:rsidRPr="008F425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49A6" w:rsidRPr="00755244" w:rsidRDefault="004A49A6" w:rsidP="004A49A6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F42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 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</w:t>
      </w:r>
      <w:proofErr w:type="gramStart"/>
      <w:r w:rsidR="00BB0D5C" w:rsidRPr="00745C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B0D5C" w:rsidRPr="00745C34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 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C5A37">
        <w:rPr>
          <w:rFonts w:ascii="Times New Roman" w:hAnsi="Times New Roman" w:cs="Times New Roman"/>
          <w:sz w:val="28"/>
          <w:szCs w:val="28"/>
        </w:rPr>
        <w:t xml:space="preserve"> 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80E3C">
        <w:rPr>
          <w:rFonts w:ascii="Times New Roman" w:hAnsi="Times New Roman" w:cs="Times New Roman"/>
          <w:sz w:val="28"/>
          <w:szCs w:val="28"/>
        </w:rPr>
        <w:t>118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проверок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780E3C">
        <w:rPr>
          <w:rFonts w:ascii="Times New Roman" w:hAnsi="Times New Roman" w:cs="Times New Roman"/>
          <w:sz w:val="28"/>
          <w:szCs w:val="28"/>
        </w:rPr>
        <w:t>118</w:t>
      </w:r>
      <w:r w:rsidR="00E05A5A"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</w:t>
      </w:r>
      <w:r w:rsidR="004A49A6">
        <w:rPr>
          <w:rFonts w:ascii="Times New Roman" w:hAnsi="Times New Roman" w:cs="Times New Roman"/>
          <w:sz w:val="28"/>
          <w:szCs w:val="28"/>
        </w:rPr>
        <w:t xml:space="preserve"> </w:t>
      </w:r>
      <w:r w:rsidR="00B9794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80E3C">
        <w:rPr>
          <w:rFonts w:ascii="Times New Roman" w:hAnsi="Times New Roman" w:cs="Times New Roman"/>
          <w:sz w:val="28"/>
          <w:szCs w:val="28"/>
        </w:rPr>
        <w:t>100</w:t>
      </w:r>
      <w:r w:rsidR="00B97944" w:rsidRPr="00780E3C">
        <w:rPr>
          <w:rFonts w:ascii="Times New Roman" w:hAnsi="Times New Roman" w:cs="Times New Roman"/>
          <w:sz w:val="28"/>
          <w:szCs w:val="28"/>
        </w:rPr>
        <w:t>,</w:t>
      </w:r>
      <w:r w:rsidR="00780E3C" w:rsidRPr="00780E3C">
        <w:rPr>
          <w:rFonts w:ascii="Times New Roman" w:hAnsi="Times New Roman" w:cs="Times New Roman"/>
          <w:sz w:val="28"/>
          <w:szCs w:val="28"/>
        </w:rPr>
        <w:t>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о соответствии модели фискального накопителя требованиям законодательства Российской Федерации о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</w:t>
      </w:r>
      <w:r w:rsidR="00FC3C85" w:rsidRPr="00745C34">
        <w:rPr>
          <w:rFonts w:ascii="Times New Roman" w:hAnsi="Times New Roman" w:cs="Times New Roman"/>
          <w:sz w:val="28"/>
          <w:szCs w:val="28"/>
        </w:rPr>
        <w:lastRenderedPageBreak/>
        <w:t>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более </w:t>
      </w:r>
      <w:r w:rsidR="00780E3C">
        <w:rPr>
          <w:rFonts w:ascii="Times New Roman" w:hAnsi="Times New Roman" w:cs="Times New Roman"/>
          <w:sz w:val="28"/>
          <w:szCs w:val="28"/>
        </w:rPr>
        <w:t>6,5</w:t>
      </w:r>
      <w:r w:rsidR="004A49A6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780E3C">
        <w:rPr>
          <w:rFonts w:ascii="Times New Roman" w:hAnsi="Times New Roman" w:cs="Times New Roman"/>
          <w:sz w:val="28"/>
          <w:szCs w:val="28"/>
        </w:rPr>
        <w:t>принадлежащей 3,2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7C5A37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7C5A37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C5A37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7C5A37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F9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</w:t>
      </w:r>
      <w:r w:rsidR="006464F9">
        <w:rPr>
          <w:rFonts w:ascii="Times New Roman" w:hAnsi="Times New Roman" w:cs="Times New Roman"/>
          <w:sz w:val="28"/>
          <w:szCs w:val="28"/>
        </w:rPr>
        <w:t>о 79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6464F9">
        <w:rPr>
          <w:rFonts w:ascii="Times New Roman" w:hAnsi="Times New Roman" w:cs="Times New Roman"/>
          <w:sz w:val="28"/>
          <w:szCs w:val="28"/>
        </w:rPr>
        <w:t>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(надзорные) мероприяти</w:t>
      </w:r>
      <w:r w:rsidR="006464F9">
        <w:rPr>
          <w:rFonts w:ascii="Times New Roman" w:hAnsi="Times New Roman" w:cs="Times New Roman"/>
          <w:sz w:val="28"/>
          <w:szCs w:val="28"/>
        </w:rPr>
        <w:t>й</w:t>
      </w:r>
      <w:r w:rsidRPr="00745C34">
        <w:rPr>
          <w:rFonts w:ascii="Times New Roman" w:hAnsi="Times New Roman" w:cs="Times New Roman"/>
          <w:sz w:val="28"/>
          <w:szCs w:val="28"/>
        </w:rPr>
        <w:t xml:space="preserve"> без взаимодействия в виде выездного обследования в отношении </w:t>
      </w:r>
      <w:r w:rsidR="006464F9">
        <w:rPr>
          <w:rFonts w:ascii="Times New Roman" w:hAnsi="Times New Roman" w:cs="Times New Roman"/>
          <w:sz w:val="28"/>
          <w:szCs w:val="28"/>
        </w:rPr>
        <w:t xml:space="preserve">560 налогоплательщиков. 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108DA">
        <w:rPr>
          <w:rFonts w:ascii="Times New Roman" w:hAnsi="Times New Roman" w:cs="Times New Roman"/>
          <w:sz w:val="28"/>
          <w:szCs w:val="28"/>
        </w:rPr>
        <w:t>10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BD0CE3">
        <w:rPr>
          <w:rFonts w:ascii="Times New Roman" w:hAnsi="Times New Roman" w:cs="Times New Roman"/>
          <w:sz w:val="28"/>
          <w:szCs w:val="28"/>
        </w:rPr>
        <w:t>90</w:t>
      </w:r>
      <w:r w:rsidR="008E10B8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правонарушениях:</w:t>
      </w:r>
    </w:p>
    <w:p w:rsidR="00BD0CE3" w:rsidRDefault="003D0A8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C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163548" w:rsidRPr="00745C34">
        <w:rPr>
          <w:rFonts w:ascii="Times New Roman" w:hAnsi="Times New Roman" w:cs="Times New Roman"/>
          <w:sz w:val="28"/>
          <w:szCs w:val="28"/>
        </w:rPr>
        <w:t>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63548"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</w:t>
      </w:r>
      <w:r w:rsidR="00BD0CE3">
        <w:rPr>
          <w:rFonts w:ascii="Times New Roman" w:hAnsi="Times New Roman" w:cs="Times New Roman"/>
          <w:sz w:val="28"/>
          <w:szCs w:val="28"/>
        </w:rPr>
        <w:t>ом Российской Федерации случаях,</w:t>
      </w:r>
      <w:r w:rsidR="00BD0CE3" w:rsidRPr="00BD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48" w:rsidRDefault="00BD0CE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-10 протоколов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неоприходование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выручки,</w:t>
      </w:r>
    </w:p>
    <w:p w:rsidR="00163548" w:rsidRDefault="003D0A8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63548"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="00163548"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влечено </w:t>
      </w:r>
      <w:r w:rsidR="003D0A89">
        <w:rPr>
          <w:rFonts w:ascii="Times New Roman" w:hAnsi="Times New Roman" w:cs="Times New Roman"/>
          <w:sz w:val="28"/>
          <w:szCs w:val="28"/>
        </w:rPr>
        <w:t>198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366BC0">
        <w:rPr>
          <w:rFonts w:ascii="Times New Roman" w:hAnsi="Times New Roman" w:cs="Times New Roman"/>
          <w:sz w:val="28"/>
          <w:szCs w:val="28"/>
        </w:rPr>
        <w:t>81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66BC0">
        <w:rPr>
          <w:rFonts w:ascii="Times New Roman" w:hAnsi="Times New Roman" w:cs="Times New Roman"/>
          <w:sz w:val="28"/>
          <w:szCs w:val="28"/>
        </w:rPr>
        <w:t>е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налогоплательщики привлечены к административной ответственности в виде предупреждения.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3D0A89">
        <w:rPr>
          <w:rFonts w:ascii="Times New Roman" w:hAnsi="Times New Roman" w:cs="Times New Roman"/>
          <w:sz w:val="28"/>
          <w:szCs w:val="28"/>
        </w:rPr>
        <w:t>117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D0A89">
        <w:rPr>
          <w:rFonts w:ascii="Times New Roman" w:hAnsi="Times New Roman" w:cs="Times New Roman"/>
          <w:sz w:val="28"/>
          <w:szCs w:val="28"/>
        </w:rPr>
        <w:t>3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3D0A89">
        <w:rPr>
          <w:rFonts w:ascii="Times New Roman" w:hAnsi="Times New Roman" w:cs="Times New Roman"/>
          <w:sz w:val="28"/>
          <w:szCs w:val="28"/>
        </w:rPr>
        <w:t>887,0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Межрайонной ИФНС России </w:t>
      </w:r>
      <w:r w:rsidR="00EA4D79" w:rsidRPr="00EA4D79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366BC0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отношении организаций и индивидуальных предпринимател</w:t>
      </w:r>
      <w:r w:rsidR="00C5726E">
        <w:rPr>
          <w:rFonts w:ascii="Times New Roman" w:hAnsi="Times New Roman" w:cs="Times New Roman"/>
          <w:sz w:val="28"/>
          <w:szCs w:val="28"/>
        </w:rPr>
        <w:t>ей</w:t>
      </w:r>
      <w:r w:rsidR="0026202F" w:rsidRPr="00745C34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</w:t>
      </w:r>
      <w:proofErr w:type="gramStart"/>
      <w:r w:rsidR="006D53A4"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6464F9">
        <w:rPr>
          <w:rFonts w:ascii="Times New Roman" w:hAnsi="Times New Roman" w:cs="Times New Roman"/>
          <w:sz w:val="28"/>
          <w:szCs w:val="28"/>
        </w:rPr>
        <w:t>531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</w:t>
      </w:r>
      <w:r w:rsidR="006464F9">
        <w:rPr>
          <w:rFonts w:ascii="Times New Roman" w:hAnsi="Times New Roman" w:cs="Times New Roman"/>
          <w:sz w:val="28"/>
          <w:szCs w:val="28"/>
        </w:rPr>
        <w:t>е</w:t>
      </w:r>
      <w:r w:rsidR="00B419B5" w:rsidRPr="00745C34">
        <w:rPr>
          <w:rFonts w:ascii="Times New Roman" w:hAnsi="Times New Roman" w:cs="Times New Roman"/>
          <w:sz w:val="28"/>
          <w:szCs w:val="28"/>
        </w:rPr>
        <w:t xml:space="preserve">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C45C59">
        <w:rPr>
          <w:rFonts w:ascii="Times New Roman" w:hAnsi="Times New Roman" w:cs="Times New Roman"/>
          <w:sz w:val="28"/>
          <w:szCs w:val="28"/>
        </w:rPr>
        <w:t xml:space="preserve"> </w:t>
      </w:r>
      <w:r w:rsidR="006464F9">
        <w:rPr>
          <w:rFonts w:ascii="Times New Roman" w:hAnsi="Times New Roman" w:cs="Times New Roman"/>
          <w:sz w:val="28"/>
          <w:szCs w:val="28"/>
        </w:rPr>
        <w:t>2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464F9">
        <w:rPr>
          <w:rFonts w:ascii="Times New Roman" w:hAnsi="Times New Roman" w:cs="Times New Roman"/>
          <w:sz w:val="28"/>
          <w:szCs w:val="28"/>
        </w:rPr>
        <w:t>ях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 (</w:t>
      </w:r>
      <w:r w:rsidR="00C67470" w:rsidRPr="006464F9">
        <w:rPr>
          <w:rFonts w:ascii="Times New Roman" w:hAnsi="Times New Roman" w:cs="Times New Roman"/>
          <w:sz w:val="28"/>
          <w:szCs w:val="28"/>
        </w:rPr>
        <w:t>0,</w:t>
      </w:r>
      <w:r w:rsidR="006464F9" w:rsidRPr="006464F9">
        <w:rPr>
          <w:rFonts w:ascii="Times New Roman" w:hAnsi="Times New Roman" w:cs="Times New Roman"/>
          <w:sz w:val="28"/>
          <w:szCs w:val="28"/>
        </w:rPr>
        <w:t>37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66BC0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D23158">
        <w:rPr>
          <w:rFonts w:ascii="Times New Roman" w:hAnsi="Times New Roman" w:cs="Times New Roman"/>
          <w:sz w:val="28"/>
          <w:szCs w:val="28"/>
        </w:rPr>
        <w:t>122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D23158">
        <w:rPr>
          <w:rFonts w:ascii="Times New Roman" w:hAnsi="Times New Roman" w:cs="Times New Roman"/>
          <w:sz w:val="28"/>
          <w:szCs w:val="28"/>
        </w:rPr>
        <w:t>а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</w:t>
      </w:r>
      <w:r w:rsidR="00D23158">
        <w:rPr>
          <w:rFonts w:ascii="Times New Roman" w:hAnsi="Times New Roman" w:cs="Times New Roman"/>
          <w:sz w:val="28"/>
          <w:szCs w:val="28"/>
        </w:rPr>
        <w:t>.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D23158">
        <w:rPr>
          <w:rFonts w:ascii="Times New Roman" w:hAnsi="Times New Roman" w:cs="Times New Roman"/>
          <w:sz w:val="28"/>
          <w:szCs w:val="28"/>
        </w:rPr>
        <w:t>17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случаях был получен отказ контролируемого лица от проведения профилактического визита.</w:t>
      </w:r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66BC0">
        <w:rPr>
          <w:rFonts w:ascii="Times New Roman" w:hAnsi="Times New Roman" w:cs="Times New Roman"/>
          <w:sz w:val="28"/>
          <w:szCs w:val="28"/>
        </w:rPr>
        <w:t xml:space="preserve"> 10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87C4A">
        <w:rPr>
          <w:rFonts w:ascii="Times New Roman" w:hAnsi="Times New Roman" w:cs="Times New Roman"/>
          <w:sz w:val="28"/>
          <w:szCs w:val="28"/>
        </w:rPr>
        <w:t>650</w:t>
      </w:r>
      <w:r w:rsidR="00BD0CE3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87C4A">
        <w:rPr>
          <w:rFonts w:ascii="Times New Roman" w:hAnsi="Times New Roman" w:cs="Times New Roman"/>
          <w:sz w:val="28"/>
          <w:szCs w:val="28"/>
        </w:rPr>
        <w:t>20</w:t>
      </w:r>
      <w:r w:rsidR="009A6C97" w:rsidRPr="00187C4A">
        <w:rPr>
          <w:rFonts w:ascii="Times New Roman" w:hAnsi="Times New Roman" w:cs="Times New Roman"/>
          <w:sz w:val="28"/>
          <w:szCs w:val="28"/>
        </w:rPr>
        <w:t>,</w:t>
      </w:r>
      <w:r w:rsidR="00187C4A" w:rsidRPr="00187C4A">
        <w:rPr>
          <w:rFonts w:ascii="Times New Roman" w:hAnsi="Times New Roman" w:cs="Times New Roman"/>
          <w:sz w:val="28"/>
          <w:szCs w:val="28"/>
        </w:rPr>
        <w:t>3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BD0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считаем необходимым </w:t>
      </w:r>
      <w:proofErr w:type="gramStart"/>
      <w:r w:rsidR="00E3766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43657C">
        <w:rPr>
          <w:rFonts w:ascii="Times New Roman" w:hAnsi="Times New Roman" w:cs="Times New Roman"/>
          <w:sz w:val="28"/>
        </w:rPr>
        <w:t xml:space="preserve">В соответствии с частью 7 ст. 67 после завершения контрольной закупки инспектор предъявляет контролируемому лицу (его представителю) служебное удостоверение, копию </w:t>
      </w:r>
      <w:r w:rsidR="0043657C" w:rsidRPr="0043657C">
        <w:rPr>
          <w:rFonts w:ascii="Times New Roman" w:hAnsi="Times New Roman" w:cs="Times New Roman"/>
          <w:b/>
          <w:sz w:val="28"/>
        </w:rPr>
        <w:t>решения</w:t>
      </w:r>
      <w:r w:rsidR="0043657C">
        <w:rPr>
          <w:rFonts w:ascii="Times New Roman" w:hAnsi="Times New Roman" w:cs="Times New Roman"/>
          <w:sz w:val="28"/>
        </w:rPr>
        <w:t xml:space="preserve"> о проведении контрольной закупки</w:t>
      </w:r>
      <w:r w:rsidR="0043657C" w:rsidRPr="0043657C">
        <w:rPr>
          <w:rFonts w:ascii="Times New Roman" w:hAnsi="Times New Roman" w:cs="Times New Roman"/>
          <w:sz w:val="28"/>
        </w:rPr>
        <w:t xml:space="preserve">, </w:t>
      </w:r>
      <w:r w:rsidR="0043657C">
        <w:rPr>
          <w:rFonts w:ascii="Times New Roman" w:hAnsi="Times New Roman" w:cs="Times New Roman"/>
          <w:sz w:val="28"/>
        </w:rPr>
        <w:t>а в соответствии с частью 7 статьи 75 в отношении проведения контрольной закупки не требуется принятие решения о проведении данного контрольного (надзорного) мероприятия.</w:t>
      </w:r>
    </w:p>
    <w:p w:rsidR="0043657C" w:rsidRDefault="0043657C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части 7 статьи 75 заменить слова «в течение одного рабочего дня» на слова «не позднее следующего рабочего дня».</w:t>
      </w:r>
      <w:bookmarkStart w:id="0" w:name="_GoBack"/>
      <w:bookmarkEnd w:id="0"/>
    </w:p>
    <w:p w:rsidR="0043657C" w:rsidRPr="005C01FF" w:rsidRDefault="0043657C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BD0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BD0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85" w:rsidRDefault="00AA6085" w:rsidP="00FA7CC7">
      <w:pPr>
        <w:spacing w:after="0" w:line="240" w:lineRule="auto"/>
      </w:pPr>
      <w:r>
        <w:separator/>
      </w:r>
    </w:p>
  </w:endnote>
  <w:endnote w:type="continuationSeparator" w:id="1">
    <w:p w:rsidR="00AA6085" w:rsidRDefault="00AA6085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85" w:rsidRDefault="00AA6085" w:rsidP="00FA7CC7">
      <w:pPr>
        <w:spacing w:after="0" w:line="240" w:lineRule="auto"/>
      </w:pPr>
      <w:r>
        <w:separator/>
      </w:r>
    </w:p>
  </w:footnote>
  <w:footnote w:type="continuationSeparator" w:id="1">
    <w:p w:rsidR="00AA6085" w:rsidRDefault="00AA6085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D5569E" w:rsidRPr="00057856" w:rsidRDefault="006D63D9" w:rsidP="00BA7216">
        <w:pPr>
          <w:pStyle w:val="a8"/>
          <w:jc w:val="center"/>
        </w:pPr>
        <w:r>
          <w:fldChar w:fldCharType="begin"/>
        </w:r>
        <w:r w:rsidR="00D5569E">
          <w:instrText>PAGE   \* MERGEFORMAT</w:instrText>
        </w:r>
        <w:r>
          <w:fldChar w:fldCharType="separate"/>
        </w:r>
        <w:r w:rsidR="00E05A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3D4B"/>
    <w:rsid w:val="00174099"/>
    <w:rsid w:val="00180F9E"/>
    <w:rsid w:val="00187C4A"/>
    <w:rsid w:val="001A30EB"/>
    <w:rsid w:val="001C4B89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2F0F2D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66BC0"/>
    <w:rsid w:val="00371A5B"/>
    <w:rsid w:val="003B3B9C"/>
    <w:rsid w:val="003B4CD5"/>
    <w:rsid w:val="003C26DA"/>
    <w:rsid w:val="003C67FD"/>
    <w:rsid w:val="003D0A89"/>
    <w:rsid w:val="003D103D"/>
    <w:rsid w:val="003D35D4"/>
    <w:rsid w:val="00416F47"/>
    <w:rsid w:val="0043335F"/>
    <w:rsid w:val="0043657C"/>
    <w:rsid w:val="004449DD"/>
    <w:rsid w:val="00456137"/>
    <w:rsid w:val="00461518"/>
    <w:rsid w:val="00490DD4"/>
    <w:rsid w:val="004A49A6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464F9"/>
    <w:rsid w:val="00656AFF"/>
    <w:rsid w:val="00666F13"/>
    <w:rsid w:val="006A1B56"/>
    <w:rsid w:val="006A23F9"/>
    <w:rsid w:val="006A71C6"/>
    <w:rsid w:val="006B2545"/>
    <w:rsid w:val="006D2A40"/>
    <w:rsid w:val="006D53A4"/>
    <w:rsid w:val="006D63D9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0E3C"/>
    <w:rsid w:val="00782F9B"/>
    <w:rsid w:val="007900A2"/>
    <w:rsid w:val="00790FB0"/>
    <w:rsid w:val="00793443"/>
    <w:rsid w:val="00796A58"/>
    <w:rsid w:val="007A2A4A"/>
    <w:rsid w:val="007B63D2"/>
    <w:rsid w:val="007C5A37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7FF2"/>
    <w:rsid w:val="008C557B"/>
    <w:rsid w:val="008D2DCB"/>
    <w:rsid w:val="008E10B8"/>
    <w:rsid w:val="008F1B62"/>
    <w:rsid w:val="009031EC"/>
    <w:rsid w:val="009147EE"/>
    <w:rsid w:val="00921382"/>
    <w:rsid w:val="00926E3C"/>
    <w:rsid w:val="00933692"/>
    <w:rsid w:val="00951854"/>
    <w:rsid w:val="00954BF2"/>
    <w:rsid w:val="00973ECA"/>
    <w:rsid w:val="009802CB"/>
    <w:rsid w:val="009812F3"/>
    <w:rsid w:val="00990493"/>
    <w:rsid w:val="00992237"/>
    <w:rsid w:val="009963D7"/>
    <w:rsid w:val="009A6C97"/>
    <w:rsid w:val="009A7FC8"/>
    <w:rsid w:val="009B6BA1"/>
    <w:rsid w:val="009C755F"/>
    <w:rsid w:val="009E5EE0"/>
    <w:rsid w:val="009F0B7E"/>
    <w:rsid w:val="009F0E73"/>
    <w:rsid w:val="009F58E5"/>
    <w:rsid w:val="009F76EC"/>
    <w:rsid w:val="00A02EEA"/>
    <w:rsid w:val="00A0681D"/>
    <w:rsid w:val="00A108DA"/>
    <w:rsid w:val="00A32403"/>
    <w:rsid w:val="00A33062"/>
    <w:rsid w:val="00A34281"/>
    <w:rsid w:val="00A377C3"/>
    <w:rsid w:val="00A37FD5"/>
    <w:rsid w:val="00A56865"/>
    <w:rsid w:val="00A62AA5"/>
    <w:rsid w:val="00AA202B"/>
    <w:rsid w:val="00AA6085"/>
    <w:rsid w:val="00AB1190"/>
    <w:rsid w:val="00AB2D48"/>
    <w:rsid w:val="00AB2E0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0CE3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45662"/>
    <w:rsid w:val="00C45C59"/>
    <w:rsid w:val="00C56718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23158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54CB"/>
    <w:rsid w:val="00E03535"/>
    <w:rsid w:val="00E04756"/>
    <w:rsid w:val="00E05A5A"/>
    <w:rsid w:val="00E247CD"/>
    <w:rsid w:val="00E25D8C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4B3D-07C5-4930-9A9E-9891688C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3</cp:revision>
  <cp:lastPrinted>2020-03-02T11:52:00Z</cp:lastPrinted>
  <dcterms:created xsi:type="dcterms:W3CDTF">2023-03-03T11:06:00Z</dcterms:created>
  <dcterms:modified xsi:type="dcterms:W3CDTF">2023-03-03T11:06:00Z</dcterms:modified>
</cp:coreProperties>
</file>