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AE" w:rsidRPr="008F4258" w:rsidRDefault="00B339AE" w:rsidP="00B339AE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УТВЕРЖДЁН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AE" w:rsidRDefault="00B339AE" w:rsidP="00B339AE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</w:p>
    <w:p w:rsidR="00B339AE" w:rsidRDefault="00B339AE" w:rsidP="00B339AE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4258">
        <w:rPr>
          <w:rFonts w:ascii="Times New Roman" w:hAnsi="Times New Roman" w:cs="Times New Roman"/>
          <w:sz w:val="24"/>
          <w:szCs w:val="24"/>
        </w:rPr>
        <w:t>ФНС России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8F4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9AE" w:rsidRPr="008F4258" w:rsidRDefault="00B339AE" w:rsidP="00B339AE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по Ленинградской области</w:t>
      </w:r>
    </w:p>
    <w:p w:rsidR="00B339AE" w:rsidRDefault="00B339AE" w:rsidP="00B339AE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от </w:t>
      </w:r>
      <w:r w:rsidR="004460E5">
        <w:rPr>
          <w:rFonts w:ascii="Times New Roman" w:hAnsi="Times New Roman" w:cs="Times New Roman"/>
          <w:sz w:val="24"/>
          <w:szCs w:val="24"/>
        </w:rPr>
        <w:t>«27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 w:rsidR="004460E5">
        <w:rPr>
          <w:rFonts w:ascii="Times New Roman" w:hAnsi="Times New Roman" w:cs="Times New Roman"/>
          <w:sz w:val="24"/>
          <w:szCs w:val="24"/>
        </w:rPr>
        <w:t>февраля</w:t>
      </w:r>
      <w:r w:rsidRPr="00755244">
        <w:rPr>
          <w:rFonts w:ascii="Times New Roman" w:hAnsi="Times New Roman" w:cs="Times New Roman"/>
          <w:sz w:val="24"/>
          <w:szCs w:val="24"/>
        </w:rPr>
        <w:t xml:space="preserve"> </w:t>
      </w:r>
      <w:r w:rsidRPr="008F425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339AE" w:rsidRPr="00755244" w:rsidRDefault="00B339AE" w:rsidP="00B339AE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№01-</w:t>
      </w:r>
      <w:r w:rsidR="004460E5">
        <w:rPr>
          <w:rFonts w:ascii="Times New Roman" w:hAnsi="Times New Roman" w:cs="Times New Roman"/>
          <w:sz w:val="24"/>
          <w:szCs w:val="24"/>
        </w:rPr>
        <w:t>1</w:t>
      </w:r>
      <w:r w:rsidRPr="008F4258">
        <w:rPr>
          <w:rFonts w:ascii="Times New Roman" w:hAnsi="Times New Roman" w:cs="Times New Roman"/>
          <w:sz w:val="24"/>
          <w:szCs w:val="24"/>
        </w:rPr>
        <w:t>-</w:t>
      </w:r>
      <w:r w:rsidR="004460E5">
        <w:rPr>
          <w:rFonts w:ascii="Times New Roman" w:hAnsi="Times New Roman" w:cs="Times New Roman"/>
          <w:sz w:val="24"/>
          <w:szCs w:val="24"/>
        </w:rPr>
        <w:t>7</w:t>
      </w:r>
      <w:r w:rsidRPr="008F42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60E5">
        <w:rPr>
          <w:rFonts w:ascii="Times New Roman" w:hAnsi="Times New Roman" w:cs="Times New Roman"/>
          <w:sz w:val="24"/>
          <w:szCs w:val="24"/>
        </w:rPr>
        <w:t>21</w:t>
      </w:r>
    </w:p>
    <w:p w:rsidR="003D103D" w:rsidRPr="003D103D" w:rsidRDefault="003D103D" w:rsidP="003D103D">
      <w:pPr>
        <w:pStyle w:val="ConsPlusNormal"/>
        <w:ind w:left="6237" w:firstLine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Default="003D103D" w:rsidP="00BA7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A4D79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A1DC0"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>подготовлен во исполнение части 2 статьи 47 Федерального закона от 31 июля 2020 года № 248-ФЗ «О государственном контроле(надзоре) 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A03F1F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C01FF"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</w:t>
      </w:r>
      <w:proofErr w:type="gramEnd"/>
      <w:r w:rsidR="00AE7690" w:rsidRPr="00745C34">
        <w:rPr>
          <w:rFonts w:ascii="Times New Roman" w:hAnsi="Times New Roman" w:cs="Times New Roman"/>
          <w:sz w:val="28"/>
          <w:szCs w:val="28"/>
        </w:rPr>
        <w:t xml:space="preserve">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5C01F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D79">
        <w:rPr>
          <w:rFonts w:ascii="Times New Roman" w:hAnsi="Times New Roman" w:cs="Times New Roman"/>
          <w:sz w:val="28"/>
          <w:szCs w:val="28"/>
        </w:rPr>
        <w:lastRenderedPageBreak/>
        <w:t>Межрайонной ИФНС России №</w:t>
      </w:r>
      <w:r w:rsidR="005C67D8">
        <w:rPr>
          <w:rFonts w:ascii="Times New Roman" w:hAnsi="Times New Roman" w:cs="Times New Roman"/>
          <w:sz w:val="28"/>
          <w:szCs w:val="28"/>
        </w:rPr>
        <w:t>3</w:t>
      </w:r>
      <w:r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E6D49"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A03F1F">
        <w:rPr>
          <w:rFonts w:ascii="Times New Roman" w:hAnsi="Times New Roman" w:cs="Times New Roman"/>
          <w:sz w:val="28"/>
          <w:szCs w:val="28"/>
        </w:rPr>
        <w:t xml:space="preserve"> </w:t>
      </w:r>
      <w:r w:rsidR="002A78F1">
        <w:rPr>
          <w:rFonts w:ascii="Times New Roman" w:hAnsi="Times New Roman" w:cs="Times New Roman"/>
          <w:sz w:val="28"/>
          <w:szCs w:val="28"/>
        </w:rPr>
        <w:t>47</w:t>
      </w:r>
      <w:r w:rsidR="005C67D8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C6557B">
        <w:rPr>
          <w:rFonts w:ascii="Times New Roman" w:hAnsi="Times New Roman" w:cs="Times New Roman"/>
          <w:sz w:val="28"/>
          <w:szCs w:val="28"/>
        </w:rPr>
        <w:t>о</w:t>
      </w:r>
      <w:r w:rsidR="005C67D8">
        <w:rPr>
          <w:rFonts w:ascii="Times New Roman" w:hAnsi="Times New Roman" w:cs="Times New Roman"/>
          <w:sz w:val="28"/>
          <w:szCs w:val="28"/>
        </w:rPr>
        <w:t>к</w:t>
      </w:r>
      <w:r w:rsidR="002E6D49"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налоговыми органами установлено </w:t>
      </w:r>
      <w:r w:rsidR="00C6557B">
        <w:rPr>
          <w:rFonts w:ascii="Times New Roman" w:hAnsi="Times New Roman" w:cs="Times New Roman"/>
          <w:sz w:val="28"/>
          <w:szCs w:val="28"/>
        </w:rPr>
        <w:t>46</w:t>
      </w:r>
      <w:r w:rsidR="00A03F1F">
        <w:rPr>
          <w:rFonts w:ascii="Times New Roman" w:hAnsi="Times New Roman" w:cs="Times New Roman"/>
          <w:sz w:val="28"/>
          <w:szCs w:val="28"/>
        </w:rPr>
        <w:t xml:space="preserve"> </w:t>
      </w:r>
      <w:r w:rsidRPr="002E6D49">
        <w:rPr>
          <w:rFonts w:ascii="Times New Roman" w:hAnsi="Times New Roman" w:cs="Times New Roman"/>
          <w:sz w:val="28"/>
          <w:szCs w:val="28"/>
        </w:rPr>
        <w:t>нарушений.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6557B">
        <w:rPr>
          <w:rFonts w:ascii="Times New Roman" w:hAnsi="Times New Roman" w:cs="Times New Roman"/>
          <w:sz w:val="28"/>
          <w:szCs w:val="28"/>
        </w:rPr>
        <w:t>97,9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Федеральной налоговой службой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статья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</w:t>
      </w:r>
      <w:r w:rsidR="00A03F1F">
        <w:rPr>
          <w:rFonts w:ascii="Times New Roman" w:hAnsi="Times New Roman" w:cs="Times New Roman"/>
          <w:sz w:val="28"/>
          <w:szCs w:val="28"/>
        </w:rPr>
        <w:t xml:space="preserve"> </w:t>
      </w:r>
      <w:r w:rsidR="00FA11C9" w:rsidRPr="00745C34">
        <w:rPr>
          <w:rFonts w:ascii="Times New Roman" w:hAnsi="Times New Roman" w:cs="Times New Roman"/>
          <w:sz w:val="28"/>
          <w:szCs w:val="28"/>
        </w:rPr>
        <w:t>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заявленияосоответствии</w:t>
      </w:r>
      <w:proofErr w:type="gramEnd"/>
      <w:r w:rsidR="00FC3C85" w:rsidRPr="00745C34">
        <w:rPr>
          <w:rFonts w:ascii="Times New Roman" w:hAnsi="Times New Roman" w:cs="Times New Roman"/>
          <w:sz w:val="28"/>
          <w:szCs w:val="28"/>
        </w:rPr>
        <w:t xml:space="preserve">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</w:t>
      </w:r>
      <w:r w:rsidR="00FC3C85" w:rsidRPr="00745C34">
        <w:rPr>
          <w:rFonts w:ascii="Times New Roman" w:hAnsi="Times New Roman" w:cs="Times New Roman"/>
          <w:sz w:val="28"/>
          <w:szCs w:val="28"/>
        </w:rPr>
        <w:lastRenderedPageBreak/>
        <w:t>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proofErr w:type="gramEnd"/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lastRenderedPageBreak/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Объектом федерального государственного контроля (надзора) является деятельность организаций и индивидуальных предпринимателей, 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По состоянию на 31.12.2022 </w:t>
      </w:r>
      <w:r w:rsidR="00EA4D79">
        <w:rPr>
          <w:rFonts w:ascii="Times New Roman" w:hAnsi="Times New Roman" w:cs="Times New Roman"/>
          <w:sz w:val="28"/>
          <w:szCs w:val="28"/>
        </w:rPr>
        <w:t xml:space="preserve">на подведомственной </w:t>
      </w:r>
      <w:r w:rsidR="005C67D8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EA4D79">
        <w:rPr>
          <w:rFonts w:ascii="Times New Roman" w:hAnsi="Times New Roman" w:cs="Times New Roman"/>
          <w:sz w:val="28"/>
          <w:szCs w:val="28"/>
        </w:rPr>
        <w:t>территории</w:t>
      </w:r>
      <w:r w:rsidR="005C67D8">
        <w:rPr>
          <w:rFonts w:ascii="Times New Roman" w:hAnsi="Times New Roman" w:cs="Times New Roman"/>
          <w:sz w:val="28"/>
          <w:szCs w:val="28"/>
        </w:rPr>
        <w:t xml:space="preserve">  зарегистрировано 1,5</w:t>
      </w:r>
      <w:r w:rsidR="00EA4D79">
        <w:rPr>
          <w:rFonts w:ascii="Times New Roman" w:hAnsi="Times New Roman" w:cs="Times New Roman"/>
          <w:sz w:val="28"/>
          <w:szCs w:val="28"/>
        </w:rPr>
        <w:t>тыс.</w:t>
      </w:r>
      <w:r w:rsidRPr="00745C34">
        <w:rPr>
          <w:rFonts w:ascii="Times New Roman" w:hAnsi="Times New Roman" w:cs="Times New Roman"/>
          <w:sz w:val="28"/>
          <w:szCs w:val="28"/>
        </w:rPr>
        <w:t xml:space="preserve"> единиц контрольно-кассовой техники (ККТ), </w:t>
      </w:r>
      <w:r w:rsidR="00F17F36" w:rsidRPr="00F17F36">
        <w:rPr>
          <w:rFonts w:ascii="Times New Roman" w:hAnsi="Times New Roman" w:cs="Times New Roman"/>
          <w:sz w:val="28"/>
          <w:szCs w:val="28"/>
        </w:rPr>
        <w:t>0,765</w:t>
      </w:r>
      <w:r w:rsidR="00EA4D79" w:rsidRPr="00F17F36">
        <w:rPr>
          <w:rFonts w:ascii="Times New Roman" w:hAnsi="Times New Roman" w:cs="Times New Roman"/>
          <w:sz w:val="28"/>
          <w:szCs w:val="28"/>
        </w:rPr>
        <w:t>тыс</w:t>
      </w:r>
      <w:r w:rsidR="00EA4D79">
        <w:rPr>
          <w:rFonts w:ascii="Times New Roman" w:hAnsi="Times New Roman" w:cs="Times New Roman"/>
          <w:sz w:val="28"/>
          <w:szCs w:val="28"/>
        </w:rPr>
        <w:t>.</w:t>
      </w:r>
      <w:r w:rsidR="00233875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16613E">
        <w:rPr>
          <w:rFonts w:ascii="Times New Roman" w:hAnsi="Times New Roman" w:cs="Times New Roman"/>
          <w:sz w:val="28"/>
          <w:szCs w:val="28"/>
        </w:rPr>
        <w:t>ями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ККТ. 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33875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5C01FF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proofErr w:type="gram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proofErr w:type="gram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B339AE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</w:t>
      </w:r>
      <w:proofErr w:type="gramStart"/>
      <w:r w:rsidR="00B62D87" w:rsidRPr="00D5297B">
        <w:rPr>
          <w:rFonts w:ascii="Times New Roman" w:hAnsi="Times New Roman" w:cs="Times New Roman"/>
          <w:sz w:val="28"/>
          <w:szCs w:val="28"/>
        </w:rPr>
        <w:t>налогоплательщика</w:t>
      </w:r>
      <w:proofErr w:type="gram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233875"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EA4D79"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>, направленные 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A4D79" w:rsidRDefault="00EA4D7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</w:t>
      </w:r>
      <w:proofErr w:type="gramEnd"/>
      <w:r w:rsidR="004E3813" w:rsidRPr="004E3813">
        <w:rPr>
          <w:rFonts w:ascii="Times New Roman" w:hAnsi="Times New Roman" w:cs="Times New Roman"/>
          <w:sz w:val="28"/>
          <w:szCs w:val="28"/>
        </w:rPr>
        <w:t xml:space="preserve">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901614">
        <w:rPr>
          <w:rFonts w:ascii="Times New Roman" w:hAnsi="Times New Roman" w:cs="Times New Roman"/>
          <w:sz w:val="28"/>
          <w:szCs w:val="28"/>
        </w:rPr>
        <w:t>9</w:t>
      </w:r>
      <w:r w:rsidRPr="00745C34">
        <w:rPr>
          <w:rFonts w:ascii="Times New Roman" w:hAnsi="Times New Roman" w:cs="Times New Roman"/>
          <w:sz w:val="28"/>
          <w:szCs w:val="28"/>
        </w:rPr>
        <w:t>индивидуальн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5297B">
        <w:rPr>
          <w:rFonts w:ascii="Times New Roman" w:hAnsi="Times New Roman" w:cs="Times New Roman"/>
          <w:sz w:val="28"/>
          <w:szCs w:val="28"/>
        </w:rPr>
        <w:t>ей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33875">
        <w:rPr>
          <w:rFonts w:ascii="Times New Roman" w:hAnsi="Times New Roman" w:cs="Times New Roman"/>
          <w:sz w:val="28"/>
          <w:szCs w:val="28"/>
        </w:rPr>
        <w:t>3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проведена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контрольная закупка в соответствии с частью 7 статьи 75 Федерального закона № 248-ФЗ.</w:t>
      </w:r>
    </w:p>
    <w:p w:rsidR="001E211B" w:rsidRPr="009C43CB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8D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составлено 67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</w:t>
      </w:r>
      <w:r w:rsidR="001E211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правонарушениях:</w:t>
      </w:r>
    </w:p>
    <w:p w:rsidR="00163548" w:rsidRPr="009C43CB" w:rsidRDefault="00B650D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30230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обязательных требований, </w:t>
      </w:r>
      <w:r w:rsidR="007900A2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связанных с 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неприменени</w:t>
      </w:r>
      <w:r w:rsidR="007900A2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163548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ККТ в установленных законодательств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ом Российской Федерации случаях;</w:t>
      </w:r>
    </w:p>
    <w:p w:rsidR="007C67CF" w:rsidRPr="009C43CB" w:rsidRDefault="00B650D1" w:rsidP="007C67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обязательных требований, связанных с применением ККТ, </w:t>
      </w:r>
      <w:proofErr w:type="gramStart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соответствует установленным требованиям;</w:t>
      </w:r>
    </w:p>
    <w:p w:rsidR="007C67CF" w:rsidRPr="009C43CB" w:rsidRDefault="008D1A8E" w:rsidP="009C43CB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C67C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нарушение обязательных требований, связанных с ненаправлением покупателю (клиенту) кассового чека в электронной форме.</w:t>
      </w:r>
    </w:p>
    <w:p w:rsidR="007C67CF" w:rsidRPr="009C43CB" w:rsidRDefault="007C67CF" w:rsidP="007C67C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административного производства к административной ответственности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>году привлечено 68 налогоплательщиков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>В 30</w:t>
      </w:r>
      <w:r w:rsidR="00B65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налогоплательщики привлечены к административной ответственности в виде предупреждения. 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>В 38 случаях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назначено административное наказание в виде административного штрафа на общую сумму </w:t>
      </w:r>
      <w:r w:rsidR="00313A45">
        <w:rPr>
          <w:rFonts w:ascii="Times New Roman" w:hAnsi="Times New Roman" w:cs="Times New Roman"/>
          <w:color w:val="000000" w:themeColor="text1"/>
          <w:sz w:val="28"/>
          <w:szCs w:val="28"/>
        </w:rPr>
        <w:t>601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63548" w:rsidRPr="009C43CB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сбора и анализа данных об объектах федерального государственного контроля (надзора) 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263C1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Межрайонной ИФНС России № 3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наблюдение за соблюдением обязательных требований в отношении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и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</w:t>
      </w:r>
      <w:r w:rsidR="00C5726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620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2F9B" w:rsidRPr="009C43CB" w:rsidRDefault="002620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наблюдения</w:t>
      </w:r>
      <w:r w:rsidR="006D53A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применении контрольно-кассовой техники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вынесено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419B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решений об </w:t>
      </w:r>
      <w:proofErr w:type="gramStart"/>
      <w:r w:rsidR="00B419B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объявлении</w:t>
      </w:r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предостережений</w:t>
      </w:r>
      <w:proofErr w:type="gramEnd"/>
      <w:r w:rsidR="00FF1C93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8543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ушения обязательных требований. В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х (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числа вынесенных предостережений) </w:t>
      </w:r>
      <w:r w:rsidR="00C604C4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получено возражени</w:t>
      </w:r>
      <w:r w:rsidR="00C67470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е.</w:t>
      </w:r>
    </w:p>
    <w:p w:rsidR="00886FBE" w:rsidRPr="00AC5B2F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AC5B2F">
        <w:rPr>
          <w:rFonts w:ascii="Times New Roman" w:hAnsi="Times New Roman" w:cs="Times New Roman"/>
          <w:sz w:val="28"/>
          <w:szCs w:val="28"/>
        </w:rPr>
        <w:t xml:space="preserve">Межрайонной ИФНС России № 3 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AC5B2F">
        <w:rPr>
          <w:rFonts w:ascii="Times New Roman" w:hAnsi="Times New Roman" w:cs="Times New Roman"/>
          <w:sz w:val="28"/>
          <w:szCs w:val="28"/>
        </w:rPr>
        <w:t>24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AC5B2F">
        <w:rPr>
          <w:rFonts w:ascii="Times New Roman" w:hAnsi="Times New Roman" w:cs="Times New Roman"/>
          <w:sz w:val="28"/>
          <w:szCs w:val="28"/>
        </w:rPr>
        <w:t>а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D30842" w:rsidRPr="00745C34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деятельности, при осуществлении которой контролируемое лицо должно соблюдать обязательные требования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 случаев</w:t>
      </w:r>
      <w:r w:rsidR="00886FB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proofErr w:type="gramEnd"/>
      <w:r w:rsidR="00886FBE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 отказ контролируемого лица от проведения профилактического визита.</w:t>
      </w:r>
    </w:p>
    <w:p w:rsidR="00083352" w:rsidRPr="00745C34" w:rsidRDefault="00AC5B2F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Межрайонной ИФНС России № 3</w:t>
      </w:r>
      <w:r w:rsidR="00EA4D79" w:rsidRPr="00EA4D7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>в рамках профилактических мероприятий в целях информирования налогоплательщиков о нормах Федерального Закона №54-ФЗ,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  <w:proofErr w:type="gramEnd"/>
    </w:p>
    <w:p w:rsidR="00B32A54" w:rsidRPr="009C43CB" w:rsidRDefault="00B32A54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за 2022 год в адрес пользователей ККТ 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Межрайонной ИФНС России №</w:t>
      </w:r>
      <w:r w:rsidR="00AC5B2F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Ленинградской области 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направлено </w:t>
      </w:r>
      <w:r w:rsidR="009C43CB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ых пис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D1016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A4D79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недопустимости нарушения обязательных требований законодательства Российской Федерации о применении контрольно-кассовой техники</w:t>
      </w:r>
      <w:r w:rsidR="00A56865" w:rsidRPr="009C43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0EB0" w:rsidRDefault="00EA4D79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79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C5B2F">
        <w:rPr>
          <w:rFonts w:ascii="Times New Roman" w:hAnsi="Times New Roman" w:cs="Times New Roman"/>
          <w:sz w:val="28"/>
          <w:szCs w:val="28"/>
        </w:rPr>
        <w:t xml:space="preserve"> 3 </w:t>
      </w:r>
      <w:r w:rsidRPr="00EA4D79">
        <w:rPr>
          <w:rFonts w:ascii="Times New Roman" w:hAnsi="Times New Roman" w:cs="Times New Roman"/>
          <w:sz w:val="28"/>
          <w:szCs w:val="28"/>
        </w:rPr>
        <w:t>по 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опорядка </w:t>
      </w:r>
      <w:r w:rsidR="00AC5B2F">
        <w:rPr>
          <w:rFonts w:ascii="Times New Roman" w:hAnsi="Times New Roman" w:cs="Times New Roman"/>
          <w:sz w:val="28"/>
          <w:szCs w:val="28"/>
        </w:rPr>
        <w:t>160</w:t>
      </w:r>
      <w:r w:rsidR="00742235" w:rsidRPr="00745C34">
        <w:rPr>
          <w:rFonts w:ascii="Times New Roman" w:hAnsi="Times New Roman" w:cs="Times New Roman"/>
          <w:sz w:val="28"/>
          <w:szCs w:val="28"/>
        </w:rPr>
        <w:t>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AC5B2F">
        <w:rPr>
          <w:rFonts w:ascii="Times New Roman" w:hAnsi="Times New Roman" w:cs="Times New Roman"/>
          <w:sz w:val="28"/>
          <w:szCs w:val="28"/>
        </w:rPr>
        <w:t xml:space="preserve">4.6 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5F0EB0" w:rsidRDefault="005F0EB0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34">
        <w:rPr>
          <w:rFonts w:ascii="Times New Roman" w:hAnsi="Times New Roman" w:cs="Times New Roman"/>
          <w:sz w:val="28"/>
          <w:szCs w:val="28"/>
        </w:rPr>
        <w:t xml:space="preserve">С целью формирования единого понимания обязательных требований </w:t>
      </w:r>
      <w:r w:rsidRPr="00745C34">
        <w:rPr>
          <w:rFonts w:ascii="Times New Roman" w:hAnsi="Times New Roman" w:cs="Times New Roman"/>
          <w:sz w:val="28"/>
          <w:szCs w:val="28"/>
        </w:rPr>
        <w:br/>
        <w:t xml:space="preserve">в деятельности подконтрольных субъектов в течение 2022 года проводилась актуализация на официальном сайте ФНС России в сети «Интернет» перечней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 или их отдельных частей.</w:t>
      </w:r>
      <w:proofErr w:type="gramEnd"/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ФНС России,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В этой связи считаем необходимым внести в Федеральный закон №248-ФЗ следующие изменения:</w:t>
      </w:r>
    </w:p>
    <w:p w:rsidR="000F6609" w:rsidRPr="005C01FF" w:rsidRDefault="00BD1016" w:rsidP="005C01F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37660" w:rsidRPr="005C01FF">
        <w:rPr>
          <w:rFonts w:ascii="Times New Roman" w:hAnsi="Times New Roman" w:cs="Times New Roman"/>
          <w:color w:val="000000"/>
          <w:sz w:val="28"/>
          <w:szCs w:val="28"/>
        </w:rPr>
        <w:t>В части 2 статьи 76 после слов «</w:t>
      </w:r>
      <w:r w:rsidR="00E37660" w:rsidRPr="005C01FF">
        <w:rPr>
          <w:rFonts w:ascii="Times New Roman" w:hAnsi="Times New Roman" w:cs="Times New Roman"/>
          <w:sz w:val="28"/>
        </w:rPr>
        <w:t>с применением видеозаписи» добавить слова «, за исключением проведения осмотра в рамках выездного обследования»</w:t>
      </w:r>
      <w:r w:rsidR="000F6609" w:rsidRPr="005C01FF">
        <w:rPr>
          <w:rFonts w:ascii="Times New Roman" w:hAnsi="Times New Roman" w:cs="Times New Roman"/>
          <w:sz w:val="28"/>
        </w:rPr>
        <w:t>;</w:t>
      </w:r>
    </w:p>
    <w:p w:rsidR="00E37660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01FF">
        <w:rPr>
          <w:rFonts w:ascii="Times New Roman" w:hAnsi="Times New Roman" w:cs="Times New Roman"/>
          <w:sz w:val="28"/>
        </w:rPr>
        <w:t>2</w:t>
      </w:r>
      <w:r w:rsidR="000F6609" w:rsidRPr="005C01FF">
        <w:rPr>
          <w:rFonts w:ascii="Times New Roman" w:hAnsi="Times New Roman" w:cs="Times New Roman"/>
          <w:sz w:val="28"/>
        </w:rPr>
        <w:t>. В части 2 статьи 88 добавить пункт 10 части 1 статьи 65 (в части исключения необходимости ознакомления контролируемого лица с актом контрольной закупки на месте проведения внепланового контрольного (надзорного) мероприятия)</w:t>
      </w:r>
      <w:r w:rsidR="00D22D2E" w:rsidRPr="005C01FF">
        <w:rPr>
          <w:rFonts w:ascii="Times New Roman" w:hAnsi="Times New Roman" w:cs="Times New Roman"/>
          <w:sz w:val="28"/>
        </w:rPr>
        <w:t>.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C5B2F">
        <w:rPr>
          <w:rFonts w:ascii="Times New Roman" w:hAnsi="Times New Roman" w:cs="Times New Roman"/>
          <w:sz w:val="28"/>
        </w:rPr>
        <w:t>-</w:t>
      </w:r>
    </w:p>
    <w:p w:rsidR="005C01FF" w:rsidRPr="005C01FF" w:rsidRDefault="005C01FF" w:rsidP="007721AD">
      <w:pPr>
        <w:spacing w:after="1" w:line="276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42235" w:rsidRPr="00745C34" w:rsidRDefault="002C6172" w:rsidP="0093369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тем, 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 учетом обозначенных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по доработке правового регулирования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, особенности проведения контрольных (надзорных) мероприятий в рамках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№ 248-ФЗ</w:t>
      </w:r>
      <w:r w:rsidR="00933692"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оказать</w:t>
      </w:r>
      <w:r w:rsidRPr="005C01FF">
        <w:rPr>
          <w:rFonts w:ascii="Times New Roman" w:hAnsi="Times New Roman" w:cs="Times New Roman"/>
          <w:color w:val="000000"/>
          <w:sz w:val="28"/>
          <w:szCs w:val="28"/>
        </w:rPr>
        <w:t xml:space="preserve"> негативный эффект на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соблюдение кассовой</w:t>
      </w:r>
      <w:bookmarkStart w:id="0" w:name="_GoBack"/>
      <w:bookmarkEnd w:id="0"/>
      <w:r w:rsidR="00A03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122B" w:rsidRPr="005C01FF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150D6D" w:rsidRPr="005C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742235" w:rsidRPr="00745C34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D1" w:rsidRDefault="00B650D1" w:rsidP="00FA7CC7">
      <w:pPr>
        <w:spacing w:after="0" w:line="240" w:lineRule="auto"/>
      </w:pPr>
      <w:r>
        <w:separator/>
      </w:r>
    </w:p>
  </w:endnote>
  <w:endnote w:type="continuationSeparator" w:id="1">
    <w:p w:rsidR="00B650D1" w:rsidRDefault="00B650D1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D1" w:rsidRDefault="00B650D1" w:rsidP="00FA7CC7">
      <w:pPr>
        <w:spacing w:after="0" w:line="240" w:lineRule="auto"/>
      </w:pPr>
      <w:r>
        <w:separator/>
      </w:r>
    </w:p>
  </w:footnote>
  <w:footnote w:type="continuationSeparator" w:id="1">
    <w:p w:rsidR="00B650D1" w:rsidRDefault="00B650D1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B650D1" w:rsidRPr="00057856" w:rsidRDefault="00CE42F7" w:rsidP="00BA7216">
        <w:pPr>
          <w:pStyle w:val="a8"/>
          <w:jc w:val="center"/>
        </w:pPr>
        <w:r>
          <w:fldChar w:fldCharType="begin"/>
        </w:r>
        <w:r w:rsidR="00B650D1">
          <w:instrText>PAGE   \* MERGEFORMAT</w:instrText>
        </w:r>
        <w:r>
          <w:fldChar w:fldCharType="separate"/>
        </w:r>
        <w:r w:rsidR="00A03F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0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393B"/>
    <w:rsid w:val="000D7E7B"/>
    <w:rsid w:val="000E3EBB"/>
    <w:rsid w:val="000F4D59"/>
    <w:rsid w:val="000F6609"/>
    <w:rsid w:val="000F7894"/>
    <w:rsid w:val="00101B41"/>
    <w:rsid w:val="00124ED7"/>
    <w:rsid w:val="00145531"/>
    <w:rsid w:val="00147B10"/>
    <w:rsid w:val="00150D6D"/>
    <w:rsid w:val="00153088"/>
    <w:rsid w:val="00162DA2"/>
    <w:rsid w:val="00163548"/>
    <w:rsid w:val="0016613E"/>
    <w:rsid w:val="001716D5"/>
    <w:rsid w:val="00174099"/>
    <w:rsid w:val="00180F9E"/>
    <w:rsid w:val="001A30EB"/>
    <w:rsid w:val="001C4B89"/>
    <w:rsid w:val="001D3914"/>
    <w:rsid w:val="001E1FFC"/>
    <w:rsid w:val="001E211B"/>
    <w:rsid w:val="00233875"/>
    <w:rsid w:val="0024369E"/>
    <w:rsid w:val="00246FEC"/>
    <w:rsid w:val="00252935"/>
    <w:rsid w:val="00256899"/>
    <w:rsid w:val="0025699D"/>
    <w:rsid w:val="00257CC0"/>
    <w:rsid w:val="00261B46"/>
    <w:rsid w:val="0026202F"/>
    <w:rsid w:val="00263C10"/>
    <w:rsid w:val="002652DF"/>
    <w:rsid w:val="00285C15"/>
    <w:rsid w:val="0029414B"/>
    <w:rsid w:val="002A2D04"/>
    <w:rsid w:val="002A775D"/>
    <w:rsid w:val="002A78F1"/>
    <w:rsid w:val="002B595D"/>
    <w:rsid w:val="002C5BCA"/>
    <w:rsid w:val="002C6172"/>
    <w:rsid w:val="002D0B69"/>
    <w:rsid w:val="002E3B5F"/>
    <w:rsid w:val="002E410D"/>
    <w:rsid w:val="002E6D49"/>
    <w:rsid w:val="002E7998"/>
    <w:rsid w:val="002F0BC6"/>
    <w:rsid w:val="0030189D"/>
    <w:rsid w:val="00302306"/>
    <w:rsid w:val="00303C3D"/>
    <w:rsid w:val="00312E7F"/>
    <w:rsid w:val="00313A45"/>
    <w:rsid w:val="00326F38"/>
    <w:rsid w:val="0034264D"/>
    <w:rsid w:val="00342ACB"/>
    <w:rsid w:val="003466A8"/>
    <w:rsid w:val="00356465"/>
    <w:rsid w:val="00360143"/>
    <w:rsid w:val="00364BA8"/>
    <w:rsid w:val="00371A5B"/>
    <w:rsid w:val="003B3B9C"/>
    <w:rsid w:val="003B4CD5"/>
    <w:rsid w:val="003C26DA"/>
    <w:rsid w:val="003C67FD"/>
    <w:rsid w:val="003D103D"/>
    <w:rsid w:val="003D35D4"/>
    <w:rsid w:val="00416F47"/>
    <w:rsid w:val="0043335F"/>
    <w:rsid w:val="004449DD"/>
    <w:rsid w:val="004460E5"/>
    <w:rsid w:val="00456137"/>
    <w:rsid w:val="00461518"/>
    <w:rsid w:val="00490DD4"/>
    <w:rsid w:val="004C0963"/>
    <w:rsid w:val="004C2E76"/>
    <w:rsid w:val="004E3813"/>
    <w:rsid w:val="00506FEE"/>
    <w:rsid w:val="005101EB"/>
    <w:rsid w:val="0051135A"/>
    <w:rsid w:val="00515132"/>
    <w:rsid w:val="00534829"/>
    <w:rsid w:val="005475BA"/>
    <w:rsid w:val="0054762F"/>
    <w:rsid w:val="005536D4"/>
    <w:rsid w:val="005634FC"/>
    <w:rsid w:val="005A3ABC"/>
    <w:rsid w:val="005C01FF"/>
    <w:rsid w:val="005C05F1"/>
    <w:rsid w:val="005C26A9"/>
    <w:rsid w:val="005C67D8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6AFF"/>
    <w:rsid w:val="00666F13"/>
    <w:rsid w:val="006926E6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344D8"/>
    <w:rsid w:val="00742235"/>
    <w:rsid w:val="00745C34"/>
    <w:rsid w:val="00752D45"/>
    <w:rsid w:val="00755745"/>
    <w:rsid w:val="00756A46"/>
    <w:rsid w:val="00760306"/>
    <w:rsid w:val="0077065C"/>
    <w:rsid w:val="007721AD"/>
    <w:rsid w:val="007808FE"/>
    <w:rsid w:val="00782F9B"/>
    <w:rsid w:val="007900A2"/>
    <w:rsid w:val="00790FB0"/>
    <w:rsid w:val="00793443"/>
    <w:rsid w:val="00796A58"/>
    <w:rsid w:val="007A2A4A"/>
    <w:rsid w:val="007B63D2"/>
    <w:rsid w:val="007C67CF"/>
    <w:rsid w:val="007C6FBC"/>
    <w:rsid w:val="007D6E06"/>
    <w:rsid w:val="007E1300"/>
    <w:rsid w:val="007E39D7"/>
    <w:rsid w:val="007F1C3A"/>
    <w:rsid w:val="007F51A9"/>
    <w:rsid w:val="008002F7"/>
    <w:rsid w:val="00806C3B"/>
    <w:rsid w:val="00815975"/>
    <w:rsid w:val="00817FF5"/>
    <w:rsid w:val="00820058"/>
    <w:rsid w:val="00840C1B"/>
    <w:rsid w:val="008413E5"/>
    <w:rsid w:val="00852BB4"/>
    <w:rsid w:val="00854B80"/>
    <w:rsid w:val="00886FBE"/>
    <w:rsid w:val="008A7ECA"/>
    <w:rsid w:val="008B03BD"/>
    <w:rsid w:val="008B7FF2"/>
    <w:rsid w:val="008C557B"/>
    <w:rsid w:val="008D1A8E"/>
    <w:rsid w:val="008D2DCB"/>
    <w:rsid w:val="008F1B62"/>
    <w:rsid w:val="00901614"/>
    <w:rsid w:val="009031EC"/>
    <w:rsid w:val="009147EE"/>
    <w:rsid w:val="00921382"/>
    <w:rsid w:val="00926E3C"/>
    <w:rsid w:val="00933692"/>
    <w:rsid w:val="00951854"/>
    <w:rsid w:val="00954BF2"/>
    <w:rsid w:val="009802CB"/>
    <w:rsid w:val="009812F3"/>
    <w:rsid w:val="00990493"/>
    <w:rsid w:val="00992237"/>
    <w:rsid w:val="009963D7"/>
    <w:rsid w:val="009A6C97"/>
    <w:rsid w:val="009A7B7A"/>
    <w:rsid w:val="009A7FC8"/>
    <w:rsid w:val="009B6BA1"/>
    <w:rsid w:val="009C43CB"/>
    <w:rsid w:val="009C755F"/>
    <w:rsid w:val="009E5EE0"/>
    <w:rsid w:val="009F0B7E"/>
    <w:rsid w:val="009F0E73"/>
    <w:rsid w:val="009F58E5"/>
    <w:rsid w:val="009F76EC"/>
    <w:rsid w:val="00A02EEA"/>
    <w:rsid w:val="00A03F1F"/>
    <w:rsid w:val="00A0681D"/>
    <w:rsid w:val="00A32403"/>
    <w:rsid w:val="00A33062"/>
    <w:rsid w:val="00A34281"/>
    <w:rsid w:val="00A377C3"/>
    <w:rsid w:val="00A56865"/>
    <w:rsid w:val="00A62AA5"/>
    <w:rsid w:val="00AA202B"/>
    <w:rsid w:val="00AA6085"/>
    <w:rsid w:val="00AB1190"/>
    <w:rsid w:val="00AB2D48"/>
    <w:rsid w:val="00AB2E0B"/>
    <w:rsid w:val="00AC5B2F"/>
    <w:rsid w:val="00AC6D0D"/>
    <w:rsid w:val="00AE7690"/>
    <w:rsid w:val="00AF6CAE"/>
    <w:rsid w:val="00B036C0"/>
    <w:rsid w:val="00B158E7"/>
    <w:rsid w:val="00B27861"/>
    <w:rsid w:val="00B32A54"/>
    <w:rsid w:val="00B339AE"/>
    <w:rsid w:val="00B37049"/>
    <w:rsid w:val="00B419B5"/>
    <w:rsid w:val="00B552A7"/>
    <w:rsid w:val="00B625DA"/>
    <w:rsid w:val="00B62D87"/>
    <w:rsid w:val="00B650D1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7216"/>
    <w:rsid w:val="00BA7E93"/>
    <w:rsid w:val="00BB0D5C"/>
    <w:rsid w:val="00BB7E42"/>
    <w:rsid w:val="00BD1016"/>
    <w:rsid w:val="00BD69BD"/>
    <w:rsid w:val="00BF5C82"/>
    <w:rsid w:val="00C030AD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557B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CE42F7"/>
    <w:rsid w:val="00D015F3"/>
    <w:rsid w:val="00D01B41"/>
    <w:rsid w:val="00D05CDF"/>
    <w:rsid w:val="00D10CEB"/>
    <w:rsid w:val="00D22D2E"/>
    <w:rsid w:val="00D30842"/>
    <w:rsid w:val="00D30CC9"/>
    <w:rsid w:val="00D5297B"/>
    <w:rsid w:val="00D5569E"/>
    <w:rsid w:val="00D55F76"/>
    <w:rsid w:val="00D56C64"/>
    <w:rsid w:val="00D70502"/>
    <w:rsid w:val="00D71CE0"/>
    <w:rsid w:val="00D84FB7"/>
    <w:rsid w:val="00D87D26"/>
    <w:rsid w:val="00D909FF"/>
    <w:rsid w:val="00DA14C1"/>
    <w:rsid w:val="00DC00F3"/>
    <w:rsid w:val="00DF122B"/>
    <w:rsid w:val="00DF54CB"/>
    <w:rsid w:val="00E03535"/>
    <w:rsid w:val="00E04756"/>
    <w:rsid w:val="00E247CD"/>
    <w:rsid w:val="00E37660"/>
    <w:rsid w:val="00E460C7"/>
    <w:rsid w:val="00E50F90"/>
    <w:rsid w:val="00E60FA2"/>
    <w:rsid w:val="00E6534B"/>
    <w:rsid w:val="00E65A52"/>
    <w:rsid w:val="00E774E8"/>
    <w:rsid w:val="00EA05BA"/>
    <w:rsid w:val="00EA4D79"/>
    <w:rsid w:val="00EB06A6"/>
    <w:rsid w:val="00EB1588"/>
    <w:rsid w:val="00EB7B04"/>
    <w:rsid w:val="00EC48DB"/>
    <w:rsid w:val="00EC51F2"/>
    <w:rsid w:val="00ED4C88"/>
    <w:rsid w:val="00ED7025"/>
    <w:rsid w:val="00F030F6"/>
    <w:rsid w:val="00F17F36"/>
    <w:rsid w:val="00F505E5"/>
    <w:rsid w:val="00F5781B"/>
    <w:rsid w:val="00F60925"/>
    <w:rsid w:val="00F63924"/>
    <w:rsid w:val="00F71C59"/>
    <w:rsid w:val="00F82101"/>
    <w:rsid w:val="00F85435"/>
    <w:rsid w:val="00FA052F"/>
    <w:rsid w:val="00FA11C9"/>
    <w:rsid w:val="00FA7CC7"/>
    <w:rsid w:val="00FC3C85"/>
    <w:rsid w:val="00FC5DEB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14AB-755D-465F-90FB-E3DB2A31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4700-00-871</cp:lastModifiedBy>
  <cp:revision>4</cp:revision>
  <cp:lastPrinted>2020-03-02T11:52:00Z</cp:lastPrinted>
  <dcterms:created xsi:type="dcterms:W3CDTF">2023-03-03T09:04:00Z</dcterms:created>
  <dcterms:modified xsi:type="dcterms:W3CDTF">2023-03-03T09:26:00Z</dcterms:modified>
</cp:coreProperties>
</file>