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ОТЧЕТ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 итогах реализации ведомственного плана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Управления Федеральной налоговой службы по Магаданской области по реализации Концепции открытости федеральных органов 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исполнительной власти в 2025 году</w:t>
      </w: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>
      <w:pPr>
        <w:pStyle w:val="af2"/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результаты реализации ведомственного плана.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обеспечения реализации принципов открытости и выполнения задач по повышению уровня открытости, руководствуясь Концепцией открытости федеральных органов исполнительной власти, утвержденной распоряжением Правительства Российской Федерации от 30.01.2014 № 93-р, приказом Управления Федеральной налоговой службы по Магаданской области от  14.04.2025  № 00-01/48, утвержден Ведомственный план УФНС России по Магаданской области (далее - Управление) по реализации Концепции открытости федеральных органов исполнительной власти на 2025 год (далее – Ведомственный план).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мероприятий Ведомственного плана позволила повысить уровень прозрачности и подотчетности деятельности Управления, представив показатели деятельности в форме, более понятной для представителей референтных групп Магаданской области.</w:t>
      </w:r>
    </w:p>
    <w:p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региональном блоке официального сайта ФНС России в информационно-телекоммуникационной сети «Интернет» (далее – сайт ФНС России) размещена и поддерживается в актуальном состоянии информация о деятельности Управления в соответствии с требованиями Федерального закона от 09.02.2009 № 8-ФЗ «Об обеспечении доступа к информации о деятельности государственных органов и органов местного самоуправления».</w:t>
      </w:r>
    </w:p>
    <w:p>
      <w:pPr>
        <w:tabs>
          <w:tab w:val="left" w:pos="2610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регулярной основе в региональном разделе «Новости» на сайте ФНС России размещаются информационно-просветительские материалы для налогоплательщиков по наиболее актуальным вопросам налогового администрирования. В 2025 году размещено 166 материалов.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Управление активно развивает каналы информирования, взаимодействует со СМИ региона (региональные и муниципальные газеты, ТВ каналы, радио, интернет-СМИ). В отчетном периоде в рамках публичного информирования в средствах массовой информации размещено 115 публикаций для налогоплательщиков по актуальным вопросам (в том числе интервью представителей  Управления). На официальных сайтах, в социальных сетях и мессенджерах органов местного самоуправления (муниципальных округов) размещено 22 информационных материала.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Поддерживается в актуальном состоянии информационный ресурс «Справочная информация о ставках и льготах по имущественным налогам»</w:t>
      </w:r>
      <w:r>
        <w:rPr>
          <w:color w:val="auto"/>
        </w:rPr>
        <w:t xml:space="preserve"> </w:t>
      </w:r>
      <w:r>
        <w:rPr>
          <w:color w:val="auto"/>
          <w:sz w:val="28"/>
          <w:szCs w:val="28"/>
        </w:rPr>
        <w:t>регионального раздела сайта ФНС России.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Одним из ключевых механизмов открытости является публикация в региональном разделе сайта ФНС России основных показателей деятельности Управления по формам статистической отчетности. За 2025 год в разделе «Статистика и аналитика» регионального раздела сайта ФНС России размещено 318 отчетов, предусмотренных Перечнем форм статистической налоговой    отчетности,   утвержденным   приказом ФНС России    от 20.03.2020  № ЕД-7-1/178@.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Информирование о работе Управления с обращениями граждан осуществляется посредством ежемесячного размещения обзоров обращений граждан и запросов пользователей, включающих обобщенную информацию о результатах рассмотрения поступивших обращений и запросов, а также справки о работе с обращениями граждан (16 обзоров). 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течение 2025 года структурными подразделениями Управления проведено 30 семинаров с налогоплательщиками общей системы налогообложения, специальных налоговых режимов по вопросам применения ПСН, УСН, в том числе о порядке уплаты НДС налогоплательщиками, применяющими УСН, пользователями ККТ, а также вновь зарегистрированными предпринимателями, в том числе по вопросам введения ЕНС с 01.01.2023, порядка заполнения уведомлений об исчисленных суммах налогов и др..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проведения информационной кампании, направленной на побуждение налогоплательщиков к исполнению обязанности по уплате имущественных налогов, проведено шесть мероприятий в формате «Мобильный офис» в торговом центре «Моремолл» (вручение листовок с информацией о сроках и способах уплаты имущественных налогов физических лиц, ответы на волнующие вопросы).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марте 2025 года руководитель Управления выступала с докладом  «Итоги налогового администрирования горнодобывающей отрасли региона в 2024 году» на форуме МАЙНЕКС Дальний Восток.  </w:t>
      </w:r>
    </w:p>
    <w:p>
      <w:pPr>
        <w:pStyle w:val="Default"/>
        <w:widowControl w:val="0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Кроме того, представители Управления в течение 2025 года принимали участие в совещаниях при Губернаторе Магаданской области по вопросам исполнения бюджета субъекта, снижения уровня заработной платы, численности населения региона и др.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Взаимодействие Управления с Общественным советом способствовало формированию эффективного диалога с референтными группами, что </w:t>
      </w:r>
      <w:r>
        <w:rPr>
          <w:color w:val="auto"/>
          <w:sz w:val="28"/>
          <w:szCs w:val="28"/>
        </w:rPr>
        <w:lastRenderedPageBreak/>
        <w:t>позволило повысить прозрачность и качество налогового администрирования. В 2025 году проведено четыре очных заседания Общественного совета.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rFonts w:cstheme="minorBidi"/>
          <w:bCs/>
          <w:color w:val="auto"/>
          <w:sz w:val="28"/>
          <w:szCs w:val="28"/>
          <w:lang w:eastAsia="ru-RU"/>
        </w:rPr>
        <w:t>В отчетном периоде обеспечено шесть раз участие представителей Общественного совета при Управлении в заседаниях аттестационных и конкурсных комиссий.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На постоянной основе обновляется информация об изменении законодательства в сфере противодействия коррупции, о проводимых в Управлении мероприятиях антикоррупционной направленности, а также методические материалы, статистические данные, информация  о деятельности Комиссии по соблюдению требований к служебному поведению федеральных государственных гражданских служащих Управления и урегулированию конфликта интересов.</w:t>
      </w:r>
    </w:p>
    <w:p>
      <w:pPr>
        <w:pStyle w:val="Default"/>
        <w:spacing w:line="276" w:lineRule="auto"/>
        <w:jc w:val="both"/>
        <w:rPr>
          <w:i/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2. Отчет об итогах реализации инициативных проектов.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2.1. Краткое описание сути реализуемой в отчетном году инициативы, каким образом инициатива должна была способствовать повышению открытости, на какие референтные группы направлена.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Согласно Ведомственному плану Управления определен один инициативный проект: ведение официальных аккаунтов УФНС России по Магаданской области в социальных сетях и мессенджерах (ВКонтакте, Одноклассники, Телеграмм-канал «Гид по ЕНС»).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рамках данной инициативы предполагались публикации информационно-просветительских материалов для налогоплательщиков (не менее трех публикаций в неделю) и информации о проведении публичных мероприятий.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Суть инициативы заключается в информировании налогоплательщиков о деятельности Управления, об актуальных вопросах налогообложения (сроки уплаты налогов и представления отчетности, изменения законодательства о налогах и сборах, порядок государственной регистрации налогоплательщиков и др.), а также о возможностях интернет-сервисов на сайте ФНС России.</w:t>
      </w:r>
    </w:p>
    <w:p>
      <w:pPr>
        <w:pStyle w:val="Default"/>
        <w:spacing w:line="276" w:lineRule="auto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Инициатива способствует повышению уровня открытости Управления и направлена на повышение налоговой грамотности широкого круга лиц (физических лиц, индивидуальных предпринимателей и юридических лиц).</w:t>
      </w:r>
    </w:p>
    <w:p>
      <w:pPr>
        <w:pStyle w:val="Default"/>
        <w:spacing w:line="276" w:lineRule="auto"/>
        <w:ind w:firstLine="708"/>
        <w:jc w:val="both"/>
        <w:rPr>
          <w:i/>
          <w:color w:val="auto"/>
          <w:sz w:val="28"/>
          <w:szCs w:val="28"/>
        </w:rPr>
      </w:pPr>
      <w:r>
        <w:rPr>
          <w:i/>
          <w:color w:val="auto"/>
          <w:sz w:val="28"/>
          <w:szCs w:val="28"/>
        </w:rPr>
        <w:t>2.2. Степень реализации инициативы в отчетном году (полностью/частично). Итоги реализации инициативы: какие мероприятия реализованы в отчетном году и какие результаты получены.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целях реализации инициативы в социальных сетях Управления «ВКонтакте» и «Одноклассники» размещено 336 информационно-</w:t>
      </w:r>
      <w:r>
        <w:rPr>
          <w:color w:val="auto"/>
          <w:sz w:val="28"/>
          <w:szCs w:val="28"/>
        </w:rPr>
        <w:lastRenderedPageBreak/>
        <w:t>просветительских материалов, в Телеграмм-канале «Гид по ЕНС» опубликовано 18 материалов.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Таким образом, инициатива, предусмотренная разделом 3 «Инициативные проекты» Ведомственного плана, реализована. Она способствовала повышению уровня открытости Управления, а также налоговой грамотности налогоплательщиков.</w:t>
      </w: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pStyle w:val="Default"/>
        <w:spacing w:line="276" w:lineRule="auto"/>
        <w:ind w:firstLine="709"/>
        <w:jc w:val="both"/>
        <w:rPr>
          <w:color w:val="auto"/>
          <w:sz w:val="28"/>
          <w:szCs w:val="28"/>
        </w:rPr>
      </w:pP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>
      <w:headerReference w:type="default" r:id="rId9"/>
      <w:footerReference w:type="default" r:id="rId10"/>
      <w:headerReference w:type="first" r:id="rId11"/>
      <w:pgSz w:w="11906" w:h="16838"/>
      <w:pgMar w:top="567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et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Times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6"/>
      <w:widowControl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55451461"/>
      <w:docPartObj>
        <w:docPartGallery w:val="Page Numbers (Top of Page)"/>
        <w:docPartUnique/>
      </w:docPartObj>
    </w:sdtPr>
    <w:sdtContent>
      <w:p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a4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2521B"/>
    <w:multiLevelType w:val="hybridMultilevel"/>
    <w:tmpl w:val="E3B2E4C2"/>
    <w:lvl w:ilvl="0" w:tplc="07F0C7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66ABF"/>
    <w:multiLevelType w:val="hybridMultilevel"/>
    <w:tmpl w:val="FA4E24D2"/>
    <w:lvl w:ilvl="0" w:tplc="C7C800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7B34B6"/>
    <w:multiLevelType w:val="hybridMultilevel"/>
    <w:tmpl w:val="F1A281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0756C8"/>
    <w:multiLevelType w:val="hybridMultilevel"/>
    <w:tmpl w:val="22022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6234FA"/>
    <w:multiLevelType w:val="hybridMultilevel"/>
    <w:tmpl w:val="41A4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Block Text"/>
    <w:basedOn w:val="a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FontStyle11">
    <w:name w:val="Font Style11"/>
    <w:rPr>
      <w:rFonts w:ascii="Times New Roman" w:hAnsi="Times New Roman" w:cs="Times New Roman"/>
      <w:b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</w:style>
  <w:style w:type="paragraph" w:styleId="a6">
    <w:name w:val="footer"/>
    <w:basedOn w:val="a"/>
    <w:link w:val="a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</w:style>
  <w:style w:type="character" w:styleId="a8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sz w:val="16"/>
      <w:szCs w:val="16"/>
    </w:rPr>
  </w:style>
  <w:style w:type="paragraph" w:styleId="ab">
    <w:name w:val="Block Text"/>
    <w:basedOn w:val="a"/>
    <w:pPr>
      <w:tabs>
        <w:tab w:val="right" w:pos="1420"/>
      </w:tabs>
      <w:spacing w:after="0" w:line="240" w:lineRule="auto"/>
      <w:ind w:left="1562" w:right="456"/>
      <w:jc w:val="both"/>
    </w:pPr>
    <w:rPr>
      <w:rFonts w:ascii="FreeSetC" w:eastAsia="Times" w:hAnsi="FreeSetC" w:cs="Times New Roman"/>
      <w:sz w:val="24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Pr>
      <w:b/>
      <w:bCs/>
      <w:sz w:val="20"/>
      <w:szCs w:val="20"/>
    </w:rPr>
  </w:style>
  <w:style w:type="character" w:styleId="af1">
    <w:name w:val="Strong"/>
    <w:uiPriority w:val="22"/>
    <w:qFormat/>
    <w:rPr>
      <w:b/>
      <w:bCs/>
    </w:rPr>
  </w:style>
  <w:style w:type="paragraph" w:styleId="af2">
    <w:name w:val="List Paragraph"/>
    <w:basedOn w:val="a"/>
    <w:uiPriority w:val="34"/>
    <w:qFormat/>
    <w:pPr>
      <w:spacing w:after="160" w:line="259" w:lineRule="auto"/>
      <w:ind w:left="720"/>
      <w:contextualSpacing/>
    </w:pPr>
  </w:style>
  <w:style w:type="paragraph" w:customStyle="1" w:styleId="af3">
    <w:name w:val="Знак Знак"/>
    <w:basedOn w:val="a"/>
    <w:autoRedefine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1">
    <w:name w:val="Основной текст1"/>
    <w:basedOn w:val="a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 w:cs="Times New Roman"/>
      <w:sz w:val="27"/>
      <w:szCs w:val="27"/>
      <w:lang w:eastAsia="ru-RU"/>
    </w:rPr>
  </w:style>
  <w:style w:type="paragraph" w:styleId="af4">
    <w:name w:val="Revision"/>
    <w:hidden/>
    <w:uiPriority w:val="99"/>
    <w:semiHidden/>
    <w:pPr>
      <w:spacing w:after="0" w:line="240" w:lineRule="auto"/>
    </w:pPr>
  </w:style>
  <w:style w:type="character" w:customStyle="1" w:styleId="FontStyle11">
    <w:name w:val="Font Style11"/>
    <w:rPr>
      <w:rFonts w:ascii="Times New Roman" w:hAnsi="Times New Roman" w:cs="Times New Roman"/>
      <w:b/>
      <w:sz w:val="26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608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>
          <a:solidFill>
            <a:schemeClr val="bg1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6"/>
        </a:lnRef>
        <a:fillRef idx="1">
          <a:schemeClr val="lt1"/>
        </a:fillRef>
        <a:effectRef idx="0">
          <a:schemeClr val="accent6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A3603A-7E5C-455E-B0A3-3D3D76A86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Родина Олеся Ивановна</dc:creator>
  <cp:lastModifiedBy>Мосягина</cp:lastModifiedBy>
  <cp:revision>2</cp:revision>
  <cp:lastPrinted>2026-04-14T23:19:00Z</cp:lastPrinted>
  <dcterms:created xsi:type="dcterms:W3CDTF">2026-04-17T00:16:00Z</dcterms:created>
  <dcterms:modified xsi:type="dcterms:W3CDTF">2026-04-17T00:16:00Z</dcterms:modified>
</cp:coreProperties>
</file>