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54" w:rsidRDefault="00397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057D6" w:rsidRDefault="00397F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7D6">
        <w:rPr>
          <w:rFonts w:ascii="Times New Roman" w:hAnsi="Times New Roman"/>
          <w:b/>
          <w:bCs/>
          <w:sz w:val="24"/>
          <w:szCs w:val="24"/>
        </w:rPr>
        <w:t xml:space="preserve">МИНИСТЕРСТВО ФИНАНСОВ </w:t>
      </w:r>
    </w:p>
    <w:p w:rsidR="00397F54" w:rsidRPr="006057D6" w:rsidRDefault="00397F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6057D6"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:rsidR="00397F54" w:rsidRPr="006057D6" w:rsidRDefault="00397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F54" w:rsidRPr="006057D6" w:rsidRDefault="00397F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7D6">
        <w:rPr>
          <w:rFonts w:ascii="Times New Roman" w:hAnsi="Times New Roman"/>
          <w:b/>
          <w:bCs/>
          <w:sz w:val="24"/>
          <w:szCs w:val="24"/>
        </w:rPr>
        <w:t>ПИСЬМО</w:t>
      </w:r>
    </w:p>
    <w:p w:rsidR="00397F54" w:rsidRPr="006057D6" w:rsidRDefault="00397F5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6057D6">
        <w:rPr>
          <w:rFonts w:ascii="Times New Roman" w:hAnsi="Times New Roman"/>
          <w:b/>
          <w:bCs/>
          <w:sz w:val="24"/>
          <w:szCs w:val="24"/>
        </w:rPr>
        <w:t>от 12 мая 2017 г. N 03-04-05/28854</w:t>
      </w:r>
    </w:p>
    <w:p w:rsidR="006057D6" w:rsidRDefault="006057D6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Департамент налоговой и таможенной политики рассмотрел обращение по вопросу получения имущественного налогового вычета по налогу на доходы физических лиц и сообщает, что в соответствии с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Регламентом</w:t>
        </w:r>
      </w:hyperlink>
      <w:r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Федерации, утвержденным приказом Министерства финансов Российской Федерации от 15.06.2012 N 82н, в Министерстве финансов Российской Федерации, если законодательством не установлено иное, не рассматриваются по существу обращения по разъяснению (толкованию норм, терминов и понятий) законодательства Российской Федерации и практики его применения, по практике применения нормативных правовых актов Министерства, по проведению экспертизы договоров, учредительных и иных документов организаций, по оценке конкретных хозяйственных ситуаций.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следует из обращения, налогоплательщик до заключения брака приобрел квартиру в строящемся доме по договору долевого участия за счет собственных и кредитных средств. Затем вступил в брак. Налогоплательщик ранее уже воспользовался правом на получение имущественного налогового вычета по налогу на доходы физических лиц.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Подпунктами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пункта 1 статьи 220 Кодекса установлено, что при определении размера налоговой базы по налогу на доходы физических лиц в соответствии с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/>
          <w:sz w:val="24"/>
          <w:szCs w:val="24"/>
        </w:rPr>
        <w:t xml:space="preserve"> статьи 210 Кодекса налогоплательщик имеет право на получение, в частности, следующих имущественных налоговых вычетов: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имущественного налогового вычета в размере фактически произведенных налогоплательщиком расходов на новое строительство либо приобретение на территории Российской Федерации, в частности, квартир. При этом согласно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подпункту 1</w:t>
        </w:r>
      </w:hyperlink>
      <w:r>
        <w:rPr>
          <w:rFonts w:ascii="Times New Roman" w:hAnsi="Times New Roman"/>
          <w:sz w:val="24"/>
          <w:szCs w:val="24"/>
        </w:rPr>
        <w:t xml:space="preserve"> пункта 3 статьи 220 Кодекса размер имущественного налогового вычета не может превышать 2 000 000 рублей;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имущественного налогового вычета в сумме фактически произведенных налогоплательщиком расходов на погашение процентов по целевым займам (кредитам), фактически израсходованным на новое строительство либо приобретение на территории Российской Федерации, в частности, квартиры. При этом в соответствии с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статьи 220 Кодекса данный имущественный налоговый вычет предоставляется в сумме фактически произведенных налогоплательщиком расходов по уплате процентов в соответствии с договором займа (кредита), но не более 3 000 000 рублей.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 отношении имущества, находящегося в общей совместной собственности, имущественные налоговые вычеты, предусмотренные подпунктами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пункта 1 статьи 220 Кодекса, вправе получить каждый из супругов исходя из величины расходов каждого супруга, подтвержденных платежными документами, но не более 2 000 000 рублей каждым из супругов.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статьи 36 Семейного кодекса Российской Федерации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(имущество каждого из супругов), является его собственностью.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изложенное, поскольку квартира не находится в собственности супруги, </w:t>
      </w:r>
      <w:r>
        <w:rPr>
          <w:rFonts w:ascii="Times New Roman" w:hAnsi="Times New Roman"/>
          <w:sz w:val="24"/>
          <w:szCs w:val="24"/>
        </w:rPr>
        <w:lastRenderedPageBreak/>
        <w:t xml:space="preserve">оснований для получения имущественных налоговых вычетов, установленных подпунктами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пункта 1 статьи 220 Кодекса, у супруги не имеется.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налогоплательщикам, налоговым агентам и налоговым органам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397F54" w:rsidRDefault="00397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Заместитель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директора Департамента</w:t>
      </w:r>
    </w:p>
    <w:p w:rsidR="00397F54" w:rsidRDefault="00397F54" w:rsidP="00605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Р.А. СААКЯН</w:t>
      </w:r>
    </w:p>
    <w:sectPr w:rsidR="00397F5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D6"/>
    <w:rsid w:val="00397F54"/>
    <w:rsid w:val="003B60CC"/>
    <w:rsid w:val="0060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2233#l6274" TargetMode="External"/><Relationship Id="rId13" Type="http://schemas.openxmlformats.org/officeDocument/2006/relationships/hyperlink" Target="https://normativ.kontur.ru/document?moduleid=1&amp;documentid=265579#l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82233#l14039" TargetMode="External"/><Relationship Id="rId12" Type="http://schemas.openxmlformats.org/officeDocument/2006/relationships/hyperlink" Target="https://normativ.kontur.ru/document?moduleid=1&amp;documentid=282233#l1403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82233#l19282" TargetMode="External"/><Relationship Id="rId11" Type="http://schemas.openxmlformats.org/officeDocument/2006/relationships/hyperlink" Target="https://normativ.kontur.ru/document?moduleid=1&amp;documentid=282233#l19282" TargetMode="External"/><Relationship Id="rId5" Type="http://schemas.openxmlformats.org/officeDocument/2006/relationships/hyperlink" Target="https://normativ.kontur.ru/document?moduleid=1&amp;documentid=222726#l4" TargetMode="External"/><Relationship Id="rId15" Type="http://schemas.openxmlformats.org/officeDocument/2006/relationships/hyperlink" Target="https://normativ.kontur.ru/document?moduleid=1&amp;documentid=282233#l14039" TargetMode="External"/><Relationship Id="rId10" Type="http://schemas.openxmlformats.org/officeDocument/2006/relationships/hyperlink" Target="https://normativ.kontur.ru/document?moduleid=1&amp;documentid=282233#l14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82233#l14047" TargetMode="External"/><Relationship Id="rId14" Type="http://schemas.openxmlformats.org/officeDocument/2006/relationships/hyperlink" Target="https://normativ.kontur.ru/document?moduleid=1&amp;documentid=282233#l19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2</cp:revision>
  <dcterms:created xsi:type="dcterms:W3CDTF">2018-04-04T14:26:00Z</dcterms:created>
  <dcterms:modified xsi:type="dcterms:W3CDTF">2018-04-04T14:26:00Z</dcterms:modified>
</cp:coreProperties>
</file>