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54A68" w:rsidTr="00E65CC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4A68" w:rsidRDefault="00254A68">
            <w:pPr>
              <w:pStyle w:val="ConsPlusNormal"/>
              <w:outlineLvl w:val="0"/>
            </w:pPr>
            <w:r>
              <w:rPr>
                <w:sz w:val="22"/>
              </w:rPr>
              <w:t>22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4A68" w:rsidRDefault="00254A68">
            <w:pPr>
              <w:pStyle w:val="ConsPlusNormal"/>
              <w:jc w:val="right"/>
              <w:outlineLvl w:val="0"/>
            </w:pPr>
            <w:r>
              <w:rPr>
                <w:sz w:val="22"/>
              </w:rPr>
              <w:t>N 4461-ЗПО</w:t>
            </w:r>
          </w:p>
        </w:tc>
      </w:tr>
    </w:tbl>
    <w:p w:rsidR="00254A68" w:rsidRDefault="00254A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Title"/>
        <w:jc w:val="center"/>
      </w:pPr>
      <w:r>
        <w:t>ЗАКОН</w:t>
      </w:r>
    </w:p>
    <w:p w:rsidR="00254A68" w:rsidRDefault="00254A68">
      <w:pPr>
        <w:pStyle w:val="ConsPlusTitle"/>
        <w:jc w:val="center"/>
      </w:pPr>
      <w:r>
        <w:t>ПЕНЗЕНСКОЙ ОБЛАСТИ</w:t>
      </w:r>
    </w:p>
    <w:p w:rsidR="00254A68" w:rsidRDefault="00254A68">
      <w:pPr>
        <w:pStyle w:val="ConsPlusTitle"/>
        <w:jc w:val="both"/>
      </w:pPr>
    </w:p>
    <w:p w:rsidR="00254A68" w:rsidRDefault="00254A68">
      <w:pPr>
        <w:pStyle w:val="ConsPlusTitle"/>
        <w:jc w:val="center"/>
      </w:pPr>
      <w:r>
        <w:t>О ПАТЕНТНОЙ СИСТЕМЕ НАЛОГООБЛОЖЕНИЯ НА ТЕРРИТОРИИ</w:t>
      </w:r>
    </w:p>
    <w:p w:rsidR="00254A68" w:rsidRDefault="00254A68">
      <w:pPr>
        <w:pStyle w:val="ConsPlusTitle"/>
        <w:jc w:val="center"/>
      </w:pPr>
      <w:r>
        <w:t>ПЕНЗЕНСКОЙ ОБЛАСТИ</w:t>
      </w:r>
    </w:p>
    <w:p w:rsidR="00254A68" w:rsidRDefault="00254A68">
      <w:pPr>
        <w:pStyle w:val="ConsPlusNormal"/>
        <w:jc w:val="both"/>
      </w:pPr>
    </w:p>
    <w:p w:rsidR="00254A68" w:rsidRDefault="003A13C0">
      <w:pPr>
        <w:pStyle w:val="ConsPlusNormal"/>
        <w:jc w:val="right"/>
      </w:pPr>
      <w:hyperlink r:id="rId5">
        <w:proofErr w:type="gramStart"/>
        <w:r w:rsidR="00254A68">
          <w:rPr>
            <w:color w:val="0000FF"/>
            <w:sz w:val="22"/>
          </w:rPr>
          <w:t>Принят</w:t>
        </w:r>
        <w:proofErr w:type="gramEnd"/>
      </w:hyperlink>
    </w:p>
    <w:p w:rsidR="00254A68" w:rsidRDefault="00254A68">
      <w:pPr>
        <w:pStyle w:val="ConsPlusNormal"/>
        <w:jc w:val="right"/>
      </w:pPr>
      <w:r>
        <w:rPr>
          <w:sz w:val="22"/>
        </w:rPr>
        <w:t>Законодательным Собранием</w:t>
      </w:r>
    </w:p>
    <w:p w:rsidR="00254A68" w:rsidRDefault="00254A68">
      <w:pPr>
        <w:pStyle w:val="ConsPlusNormal"/>
        <w:jc w:val="right"/>
      </w:pPr>
      <w:r>
        <w:rPr>
          <w:sz w:val="22"/>
        </w:rPr>
        <w:t>Пензенской области</w:t>
      </w:r>
    </w:p>
    <w:p w:rsidR="00254A68" w:rsidRDefault="00254A68">
      <w:pPr>
        <w:pStyle w:val="ConsPlusNormal"/>
        <w:jc w:val="right"/>
      </w:pPr>
      <w:r>
        <w:rPr>
          <w:sz w:val="22"/>
        </w:rPr>
        <w:t>22 ноября 2024 года</w:t>
      </w:r>
    </w:p>
    <w:p w:rsidR="00254A68" w:rsidRDefault="00254A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4A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A68" w:rsidRDefault="00254A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A68" w:rsidRDefault="00254A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4A68" w:rsidRDefault="00254A68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:rsidR="00254A68" w:rsidRDefault="00254A68">
            <w:pPr>
              <w:pStyle w:val="ConsPlusNormal"/>
              <w:jc w:val="center"/>
            </w:pPr>
            <w:proofErr w:type="gramStart"/>
            <w:r>
              <w:rPr>
                <w:color w:val="392C69"/>
                <w:sz w:val="22"/>
              </w:rPr>
              <w:t xml:space="preserve">(в ред. </w:t>
            </w:r>
            <w:hyperlink r:id="rId6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color w:val="392C69"/>
                <w:sz w:val="22"/>
              </w:rPr>
              <w:t xml:space="preserve"> Пензенской обл. от 24.10.2025 N 4670-ЗПО,</w:t>
            </w:r>
            <w:proofErr w:type="gramEnd"/>
          </w:p>
          <w:p w:rsidR="00254A68" w:rsidRDefault="00254A68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с изм., </w:t>
            </w:r>
            <w:proofErr w:type="gramStart"/>
            <w:r>
              <w:rPr>
                <w:color w:val="392C69"/>
                <w:sz w:val="22"/>
              </w:rPr>
              <w:t>внесенными</w:t>
            </w:r>
            <w:proofErr w:type="gramEnd"/>
            <w:r>
              <w:rPr>
                <w:color w:val="392C69"/>
                <w:sz w:val="22"/>
              </w:rPr>
              <w:t xml:space="preserve"> </w:t>
            </w:r>
            <w:hyperlink r:id="rId7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color w:val="392C69"/>
                <w:sz w:val="22"/>
              </w:rPr>
              <w:t xml:space="preserve"> Пензенской обл.</w:t>
            </w:r>
          </w:p>
          <w:p w:rsidR="00254A68" w:rsidRDefault="00254A68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от 24.04.2026 N 4757-ЗПО)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A68" w:rsidRDefault="00254A68">
            <w:pPr>
              <w:pStyle w:val="ConsPlusNormal"/>
            </w:pPr>
          </w:p>
        </w:tc>
      </w:tr>
    </w:tbl>
    <w:p w:rsidR="00254A68" w:rsidRDefault="00254A68">
      <w:pPr>
        <w:pStyle w:val="ConsPlusNormal"/>
        <w:jc w:val="both"/>
      </w:pPr>
    </w:p>
    <w:p w:rsidR="00254A68" w:rsidRDefault="00254A68">
      <w:pPr>
        <w:pStyle w:val="ConsPlusTitle"/>
        <w:ind w:firstLine="540"/>
        <w:jc w:val="both"/>
        <w:outlineLvl w:val="1"/>
      </w:pPr>
      <w:r>
        <w:t>Статья 1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ind w:firstLine="540"/>
        <w:jc w:val="both"/>
      </w:pPr>
      <w:r>
        <w:rPr>
          <w:sz w:val="22"/>
        </w:rPr>
        <w:t xml:space="preserve">В соответствии со </w:t>
      </w:r>
      <w:hyperlink r:id="rId8">
        <w:r>
          <w:rPr>
            <w:color w:val="0000FF"/>
            <w:sz w:val="22"/>
          </w:rPr>
          <w:t>статьей 346.43 главы 26.5</w:t>
        </w:r>
      </w:hyperlink>
      <w:r>
        <w:rPr>
          <w:sz w:val="22"/>
        </w:rPr>
        <w:t xml:space="preserve"> "Патентная система налогообложения" Налогового кодекса Российской Федерации на территории Пензенской области вводится патентная система налогообложения.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Title"/>
        <w:ind w:firstLine="540"/>
        <w:jc w:val="both"/>
        <w:outlineLvl w:val="1"/>
      </w:pPr>
      <w:r>
        <w:t>Статья 2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ind w:firstLine="540"/>
        <w:jc w:val="both"/>
      </w:pPr>
      <w:r>
        <w:rPr>
          <w:sz w:val="22"/>
        </w:rPr>
        <w:t xml:space="preserve">1. Установить </w:t>
      </w:r>
      <w:hyperlink r:id="rId9">
        <w:r>
          <w:rPr>
            <w:color w:val="0000FF"/>
            <w:sz w:val="22"/>
          </w:rPr>
          <w:t>размеры</w:t>
        </w:r>
      </w:hyperlink>
      <w:r>
        <w:rPr>
          <w:sz w:val="22"/>
        </w:rPr>
        <w:t xml:space="preserve"> потенциально возможного к получению индивидуальным предпринимателем годового дохода по </w:t>
      </w:r>
      <w:hyperlink w:anchor="P103">
        <w:r>
          <w:rPr>
            <w:color w:val="0000FF"/>
            <w:sz w:val="22"/>
          </w:rPr>
          <w:t>видам</w:t>
        </w:r>
      </w:hyperlink>
      <w:r>
        <w:rPr>
          <w:sz w:val="22"/>
        </w:rPr>
        <w:t xml:space="preserve">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2. </w:t>
      </w:r>
      <w:proofErr w:type="gramStart"/>
      <w:r>
        <w:rPr>
          <w:sz w:val="22"/>
        </w:rPr>
        <w:t xml:space="preserve">Установленные в соответствии с </w:t>
      </w:r>
      <w:hyperlink w:anchor="P103">
        <w:r>
          <w:rPr>
            <w:color w:val="0000FF"/>
            <w:sz w:val="22"/>
          </w:rPr>
          <w:t>приложением</w:t>
        </w:r>
      </w:hyperlink>
      <w:r>
        <w:rPr>
          <w:sz w:val="22"/>
        </w:rPr>
        <w:t xml:space="preserve"> к настоящему Закону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дифференцируются по территориям действия патентов по муниципальным образованиям, за исключением видов предпринимательской деятельности, указанных в </w:t>
      </w:r>
      <w:hyperlink w:anchor="P439">
        <w:r>
          <w:rPr>
            <w:color w:val="0000FF"/>
            <w:sz w:val="22"/>
          </w:rPr>
          <w:t>пунктах 10</w:t>
        </w:r>
      </w:hyperlink>
      <w:r>
        <w:rPr>
          <w:sz w:val="22"/>
        </w:rPr>
        <w:t xml:space="preserve">, </w:t>
      </w:r>
      <w:hyperlink w:anchor="P469">
        <w:r>
          <w:rPr>
            <w:color w:val="0000FF"/>
            <w:sz w:val="22"/>
          </w:rPr>
          <w:t>11.1</w:t>
        </w:r>
      </w:hyperlink>
      <w:r>
        <w:rPr>
          <w:sz w:val="22"/>
        </w:rPr>
        <w:t xml:space="preserve"> - </w:t>
      </w:r>
      <w:hyperlink w:anchor="P496">
        <w:r>
          <w:rPr>
            <w:color w:val="0000FF"/>
            <w:sz w:val="22"/>
          </w:rPr>
          <w:t>11.2</w:t>
        </w:r>
      </w:hyperlink>
      <w:r>
        <w:rPr>
          <w:sz w:val="22"/>
        </w:rPr>
        <w:t xml:space="preserve">, </w:t>
      </w:r>
      <w:hyperlink w:anchor="P1163">
        <w:r>
          <w:rPr>
            <w:color w:val="0000FF"/>
            <w:sz w:val="22"/>
          </w:rPr>
          <w:t>32</w:t>
        </w:r>
      </w:hyperlink>
      <w:r>
        <w:rPr>
          <w:sz w:val="22"/>
        </w:rPr>
        <w:t xml:space="preserve">, </w:t>
      </w:r>
      <w:hyperlink w:anchor="P1172">
        <w:r>
          <w:rPr>
            <w:color w:val="0000FF"/>
            <w:sz w:val="22"/>
          </w:rPr>
          <w:t>33</w:t>
        </w:r>
      </w:hyperlink>
      <w:r>
        <w:rPr>
          <w:sz w:val="22"/>
        </w:rPr>
        <w:t xml:space="preserve"> и </w:t>
      </w:r>
      <w:hyperlink w:anchor="P1497">
        <w:r>
          <w:rPr>
            <w:color w:val="0000FF"/>
            <w:sz w:val="22"/>
          </w:rPr>
          <w:t>46.3</w:t>
        </w:r>
      </w:hyperlink>
      <w:r>
        <w:rPr>
          <w:sz w:val="22"/>
        </w:rPr>
        <w:t xml:space="preserve"> (в части, касающейся развозной и разносной розничной торговли) приложения</w:t>
      </w:r>
      <w:proofErr w:type="gramEnd"/>
      <w:r>
        <w:rPr>
          <w:sz w:val="22"/>
        </w:rPr>
        <w:t xml:space="preserve"> к настоящему Закону, по следующим городским округам и муниципальным районам: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1) городские округа: город Заречный Пензенской области (закрытое административно-территориальное образование), город Кузнецк Пензенской области, город Пенза Пензенской области - с коэффициентом 1,0;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2) муниципальные районы: </w:t>
      </w:r>
      <w:proofErr w:type="spellStart"/>
      <w:proofErr w:type="gramStart"/>
      <w:r>
        <w:rPr>
          <w:sz w:val="22"/>
        </w:rPr>
        <w:t>Башмаковский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Бековский</w:t>
      </w:r>
      <w:proofErr w:type="spellEnd"/>
      <w:r>
        <w:rPr>
          <w:sz w:val="22"/>
        </w:rPr>
        <w:t xml:space="preserve"> район Пензенской области, Белинский район Пензенской области, </w:t>
      </w:r>
      <w:proofErr w:type="spellStart"/>
      <w:r>
        <w:rPr>
          <w:sz w:val="22"/>
        </w:rPr>
        <w:t>Бессоновский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Городищенский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Земетчинский</w:t>
      </w:r>
      <w:proofErr w:type="spellEnd"/>
      <w:r>
        <w:rPr>
          <w:sz w:val="22"/>
        </w:rPr>
        <w:t xml:space="preserve"> район Пензенской области, Каменский район Пензенской области, </w:t>
      </w:r>
      <w:proofErr w:type="spellStart"/>
      <w:r>
        <w:rPr>
          <w:sz w:val="22"/>
        </w:rPr>
        <w:t>Колышлейский</w:t>
      </w:r>
      <w:proofErr w:type="spellEnd"/>
      <w:r>
        <w:rPr>
          <w:sz w:val="22"/>
        </w:rPr>
        <w:t xml:space="preserve"> район Пензенской области, Кузнецкий район Пензенской области, </w:t>
      </w:r>
      <w:proofErr w:type="spellStart"/>
      <w:r>
        <w:rPr>
          <w:sz w:val="22"/>
        </w:rPr>
        <w:t>Лунинский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Мокшанский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Нижнеломовский</w:t>
      </w:r>
      <w:proofErr w:type="spellEnd"/>
      <w:r>
        <w:rPr>
          <w:sz w:val="22"/>
        </w:rPr>
        <w:t xml:space="preserve"> район Пензенской области, Никольский район Пензенской области, Пензенский район Пензенской области, </w:t>
      </w:r>
      <w:proofErr w:type="spellStart"/>
      <w:r>
        <w:rPr>
          <w:sz w:val="22"/>
        </w:rPr>
        <w:t>Сердобский</w:t>
      </w:r>
      <w:proofErr w:type="spellEnd"/>
      <w:r>
        <w:rPr>
          <w:sz w:val="22"/>
        </w:rPr>
        <w:t xml:space="preserve"> район Пензенской области</w:t>
      </w:r>
      <w:proofErr w:type="gramEnd"/>
      <w:r>
        <w:rPr>
          <w:sz w:val="22"/>
        </w:rPr>
        <w:t xml:space="preserve">, </w:t>
      </w:r>
      <w:proofErr w:type="spellStart"/>
      <w:r>
        <w:rPr>
          <w:sz w:val="22"/>
        </w:rPr>
        <w:t>Шемышейский</w:t>
      </w:r>
      <w:proofErr w:type="spellEnd"/>
      <w:r>
        <w:rPr>
          <w:sz w:val="22"/>
        </w:rPr>
        <w:t xml:space="preserve"> район Пензенской области - с коэффициентом 0,85;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3) муниципальные районы: </w:t>
      </w:r>
      <w:proofErr w:type="spellStart"/>
      <w:r>
        <w:rPr>
          <w:sz w:val="22"/>
        </w:rPr>
        <w:t>Вадинский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Иссинский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Камешкирский</w:t>
      </w:r>
      <w:proofErr w:type="spellEnd"/>
      <w:r>
        <w:rPr>
          <w:sz w:val="22"/>
        </w:rPr>
        <w:t xml:space="preserve"> район Пензенской области, Лопатинский район Пензенской области, </w:t>
      </w:r>
      <w:proofErr w:type="spellStart"/>
      <w:r>
        <w:rPr>
          <w:sz w:val="22"/>
        </w:rPr>
        <w:t>Малосердобинский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Наровчатский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lastRenderedPageBreak/>
        <w:t>Неверкинский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Пачелмский</w:t>
      </w:r>
      <w:proofErr w:type="spellEnd"/>
      <w:r>
        <w:rPr>
          <w:sz w:val="22"/>
        </w:rPr>
        <w:t xml:space="preserve"> район Пензенской области, </w:t>
      </w:r>
      <w:proofErr w:type="spellStart"/>
      <w:r>
        <w:rPr>
          <w:sz w:val="22"/>
        </w:rPr>
        <w:t>Сосновоборский</w:t>
      </w:r>
      <w:proofErr w:type="spellEnd"/>
      <w:r>
        <w:rPr>
          <w:sz w:val="22"/>
        </w:rPr>
        <w:t xml:space="preserve"> район Пензенской области, Спасский район Пензенской области, </w:t>
      </w:r>
      <w:proofErr w:type="spellStart"/>
      <w:r>
        <w:rPr>
          <w:sz w:val="22"/>
        </w:rPr>
        <w:t>Тамалинский</w:t>
      </w:r>
      <w:proofErr w:type="spellEnd"/>
      <w:r>
        <w:rPr>
          <w:sz w:val="22"/>
        </w:rPr>
        <w:t xml:space="preserve"> район Пензенской области - с коэффициентом 0,7.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3. </w:t>
      </w:r>
      <w:proofErr w:type="gramStart"/>
      <w:r>
        <w:rPr>
          <w:sz w:val="22"/>
        </w:rPr>
        <w:t xml:space="preserve">В соответствии с </w:t>
      </w:r>
      <w:hyperlink r:id="rId10">
        <w:r>
          <w:rPr>
            <w:color w:val="0000FF"/>
            <w:sz w:val="22"/>
          </w:rPr>
          <w:t>подпунктом 6 пункта 8 статьи 346.43</w:t>
        </w:r>
      </w:hyperlink>
      <w:r>
        <w:rPr>
          <w:sz w:val="22"/>
        </w:rPr>
        <w:t xml:space="preserve"> Налогового кодекса Российской Федерации установить, что размеры потенциально возможного к получению индивидуальным предпринимателем годового дохода по всем видам предпринимательской деятельности, в отношении которых применяется патентная система налогообложения, установленные в </w:t>
      </w:r>
      <w:hyperlink w:anchor="P103">
        <w:r>
          <w:rPr>
            <w:color w:val="0000FF"/>
            <w:sz w:val="22"/>
          </w:rPr>
          <w:t>приложении</w:t>
        </w:r>
      </w:hyperlink>
      <w:r>
        <w:rPr>
          <w:sz w:val="22"/>
        </w:rPr>
        <w:t xml:space="preserve"> к настоящему Закону, ежегодно индексируются на </w:t>
      </w:r>
      <w:hyperlink r:id="rId11">
        <w:r>
          <w:rPr>
            <w:color w:val="0000FF"/>
            <w:sz w:val="22"/>
          </w:rPr>
          <w:t>коэффициент-дефлятор</w:t>
        </w:r>
      </w:hyperlink>
      <w:r>
        <w:rPr>
          <w:sz w:val="22"/>
        </w:rPr>
        <w:t>, установленный на соответствующий календарный год.</w:t>
      </w:r>
      <w:proofErr w:type="gramEnd"/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Title"/>
        <w:spacing w:before="280"/>
        <w:ind w:firstLine="540"/>
        <w:jc w:val="both"/>
        <w:outlineLvl w:val="1"/>
      </w:pPr>
      <w:bookmarkStart w:id="0" w:name="P34"/>
      <w:bookmarkStart w:id="1" w:name="_GoBack"/>
      <w:bookmarkEnd w:id="0"/>
      <w:bookmarkEnd w:id="1"/>
      <w:r>
        <w:t>Статья 3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ind w:firstLine="540"/>
        <w:jc w:val="both"/>
      </w:pPr>
      <w:bookmarkStart w:id="2" w:name="P36"/>
      <w:bookmarkEnd w:id="2"/>
      <w:r>
        <w:rPr>
          <w:sz w:val="22"/>
        </w:rPr>
        <w:t xml:space="preserve">1. В соответствии со </w:t>
      </w:r>
      <w:hyperlink r:id="rId12">
        <w:r>
          <w:rPr>
            <w:color w:val="0000FF"/>
            <w:sz w:val="22"/>
          </w:rPr>
          <w:t>статьей 346.50</w:t>
        </w:r>
      </w:hyperlink>
      <w:r>
        <w:rPr>
          <w:sz w:val="22"/>
        </w:rPr>
        <w:t xml:space="preserve"> Налогового кодекса Российской Федерации установить на территории Пензенской области налоговую ставку при применении патентной системы налогообложения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следующие виды предпринимательской деятельности: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2) ремонт, чистка, окраска и пошив обуви;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3) стирка, химическая чистка и крашение текстильных и меховых изделий;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4) изготовление и ремонт металлической галантереи, ключей, номерных знаков, указателей улиц;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5)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6) ремонт мебели и предметов домашнего обихода;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7) реконструкция или ремонт существующих жилых и нежилых зданий, а также спортивных сооружений;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8) услуги по производству монтажных, электромонтажных, санитарно-технических и сварочных работ;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9) услуги в сфере дошкольного образования и дополнительного образования детей и взрослых;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10) услуги по присмотру и уходу за детьми и больными;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11) сбор тары и пригодных для вторичного использования материалов;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12) деятельность ветеринарная;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13) изготовление изделий народных художественных промыслов;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14)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15) производство и реставрация ковров и ковровых изделий;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16) услуги по уборке квартир и частных домов, деятельность домашних хозяйств с наемными работниками;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17) проведение занятий по физической культуре и спорту;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18) услуги по приготовлению и поставке блюд для торжественных мероприятий или иных событий;</w:t>
      </w:r>
    </w:p>
    <w:p w:rsidR="00254A68" w:rsidRDefault="00254A68">
      <w:pPr>
        <w:pStyle w:val="ConsPlusNormal"/>
        <w:spacing w:before="220"/>
        <w:ind w:firstLine="540"/>
        <w:jc w:val="both"/>
      </w:pPr>
      <w:proofErr w:type="gramStart"/>
      <w:r>
        <w:rPr>
          <w:sz w:val="22"/>
        </w:rPr>
        <w:t>19)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20)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21) деятельность по благоустройству ландшафта;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22) охота, отлов и отстрел диких животных, в том числе предоставление услуг в этих областях, деятельность, связанная со спортивно-любительской охотой;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23) услуги по прокату;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24) услуги экскурсионные туристические;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25) помол зерна, производство муки и крупы из зерен пшеницы, ржи, овса, кукурузы или прочих хлебных злаков;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26) услуги по уходу за домашними животными;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27) изготовление и ремонт бондарной посуды и гончарных изделий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28) услуги по изготовлению валяной обуви;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29) услуги по изготовлению сельскохозяйственного инвентаря из материала заказчика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30)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31) изготовление и ремонт деревянных лодок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32) ремонт игрушек и подобных им изделий;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33) ремонт спортивного и туристического оборудования;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34) услуги по вспашке огородов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35) услуги по распиловке дров по индивидуальному заказу населения;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36) сборка и ремонт очков;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37) изготовление и печатание визитных карточек и пригласительных билетов на семейные торжества;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>38) переплетные, брошюровочные, окантовочные, картонажные работы;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39) услуги по ремонту сифонов и </w:t>
      </w:r>
      <w:proofErr w:type="spellStart"/>
      <w:r>
        <w:rPr>
          <w:sz w:val="22"/>
        </w:rPr>
        <w:t>автосифонов</w:t>
      </w:r>
      <w:proofErr w:type="spellEnd"/>
      <w:r>
        <w:rPr>
          <w:sz w:val="22"/>
        </w:rPr>
        <w:t>, в том числе зарядка газовых баллончиков для сифонов.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 xml:space="preserve">2. Индивидуальные предприниматели, указанные в </w:t>
      </w:r>
      <w:hyperlink w:anchor="P36">
        <w:r>
          <w:rPr>
            <w:color w:val="0000FF"/>
            <w:sz w:val="22"/>
          </w:rPr>
          <w:t>части 1</w:t>
        </w:r>
      </w:hyperlink>
      <w:r>
        <w:rPr>
          <w:sz w:val="22"/>
        </w:rP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254A68" w:rsidRDefault="00254A68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3. </w:t>
      </w:r>
      <w:proofErr w:type="gramStart"/>
      <w:r>
        <w:rPr>
          <w:sz w:val="22"/>
        </w:rPr>
        <w:t xml:space="preserve">В случае если налогоплательщик осуществляет виды предпринимательской деятельности, в отношении которых применяется патентная система налогообложения с налоговой ставкой в размере 0 процентов, и иные виды предпринимательской деятельности, в отношении которых применяется патентная система налогообложения с налоговой ставкой в размере, установленном </w:t>
      </w:r>
      <w:hyperlink r:id="rId13">
        <w:r>
          <w:rPr>
            <w:color w:val="0000FF"/>
            <w:sz w:val="22"/>
          </w:rPr>
          <w:t>пунктом 1 статьи 346.50</w:t>
        </w:r>
      </w:hyperlink>
      <w:r>
        <w:rPr>
          <w:sz w:val="22"/>
        </w:rPr>
        <w:t xml:space="preserve"> Налогового кодекса Российской Федерации, или иной режим налогообложения, этот налогоплательщик обязан вести раздельный учет доходов.</w:t>
      </w:r>
      <w:proofErr w:type="gramEnd"/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Title"/>
        <w:ind w:firstLine="540"/>
        <w:jc w:val="both"/>
        <w:outlineLvl w:val="1"/>
      </w:pPr>
      <w:r>
        <w:t>Статья 4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ind w:firstLine="540"/>
        <w:jc w:val="both"/>
      </w:pPr>
      <w:r>
        <w:rPr>
          <w:sz w:val="22"/>
        </w:rPr>
        <w:t>1. Настоящий Закон вступает в силу с 1 января 2025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254A68" w:rsidRDefault="00254A68">
      <w:pPr>
        <w:pStyle w:val="ConsPlusNormal"/>
        <w:spacing w:before="220"/>
        <w:ind w:firstLine="540"/>
        <w:jc w:val="both"/>
      </w:pPr>
      <w:bookmarkStart w:id="3" w:name="P82"/>
      <w:bookmarkEnd w:id="3"/>
      <w:r>
        <w:rPr>
          <w:sz w:val="22"/>
        </w:rPr>
        <w:t xml:space="preserve">2. </w:t>
      </w:r>
      <w:proofErr w:type="gramStart"/>
      <w:r>
        <w:rPr>
          <w:sz w:val="22"/>
        </w:rPr>
        <w:t xml:space="preserve">Налоговая ставка, определенная </w:t>
      </w:r>
      <w:hyperlink w:anchor="P34">
        <w:r>
          <w:rPr>
            <w:color w:val="0000FF"/>
            <w:sz w:val="22"/>
          </w:rPr>
          <w:t>статьей 3</w:t>
        </w:r>
      </w:hyperlink>
      <w:r>
        <w:rPr>
          <w:sz w:val="22"/>
        </w:rPr>
        <w:t xml:space="preserve"> настоящего Закона применяется в отношении налогоплательщиков - индивидуальных предпринимателей, указанных в </w:t>
      </w:r>
      <w:hyperlink r:id="rId14">
        <w:r>
          <w:rPr>
            <w:color w:val="0000FF"/>
            <w:sz w:val="22"/>
          </w:rPr>
          <w:t>части 1 статьи 2-1</w:t>
        </w:r>
      </w:hyperlink>
      <w:r>
        <w:rPr>
          <w:sz w:val="22"/>
        </w:rPr>
        <w:t xml:space="preserve"> Закона Пензенской области от 28 ноября 2012 года N 2299-ЗПО "О введении патентной системы налогообложения на территории Пензенской области и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  <w:proofErr w:type="gramEnd"/>
      <w:r>
        <w:rPr>
          <w:sz w:val="22"/>
        </w:rPr>
        <w:t>" (</w:t>
      </w:r>
      <w:proofErr w:type="gramStart"/>
      <w:r>
        <w:rPr>
          <w:sz w:val="22"/>
        </w:rPr>
        <w:t xml:space="preserve">в редакции, действовавшей до дня вступления в силу </w:t>
      </w:r>
      <w:hyperlink r:id="rId15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Пензенской области от 22 ноября 2024 года N 4462-ЗПО "О признании утратившими силу отдельных законов Пензенской области"), до окончания налоговых периодов, указанных в </w:t>
      </w:r>
      <w:hyperlink r:id="rId16">
        <w:r>
          <w:rPr>
            <w:color w:val="0000FF"/>
            <w:sz w:val="22"/>
          </w:rPr>
          <w:t>части 2 статьи 2-1</w:t>
        </w:r>
      </w:hyperlink>
      <w:r>
        <w:rPr>
          <w:sz w:val="22"/>
        </w:rPr>
        <w:t xml:space="preserve"> Закона Пензенской области от 28 ноября 2012 года N 2299-ЗПО "О введении патентной системы налогообложения на территории Пензенской области и установлении размеров потенциально возможного</w:t>
      </w:r>
      <w:proofErr w:type="gramEnd"/>
      <w:r>
        <w:rPr>
          <w:sz w:val="22"/>
        </w:rPr>
        <w:t xml:space="preserve">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налогообложения" (в редакции, действовавшей до дня вступления в силу </w:t>
      </w:r>
      <w:hyperlink r:id="rId17">
        <w:r>
          <w:rPr>
            <w:color w:val="0000FF"/>
            <w:sz w:val="22"/>
          </w:rPr>
          <w:t>Закона</w:t>
        </w:r>
      </w:hyperlink>
      <w:r>
        <w:rPr>
          <w:sz w:val="22"/>
        </w:rPr>
        <w:t xml:space="preserve"> Пензенской области от 22 ноября 2024 года N 4462-ЗПО "О признании </w:t>
      </w:r>
      <w:proofErr w:type="gramStart"/>
      <w:r>
        <w:rPr>
          <w:sz w:val="22"/>
        </w:rPr>
        <w:t>утратившими</w:t>
      </w:r>
      <w:proofErr w:type="gramEnd"/>
      <w:r>
        <w:rPr>
          <w:sz w:val="22"/>
        </w:rPr>
        <w:t xml:space="preserve"> силу отдельных законов Пензенской области").</w:t>
      </w:r>
    </w:p>
    <w:p w:rsidR="00254A68" w:rsidRDefault="00254A68">
      <w:pPr>
        <w:pStyle w:val="ConsPlusNormal"/>
        <w:spacing w:before="220"/>
        <w:ind w:firstLine="540"/>
        <w:jc w:val="both"/>
      </w:pPr>
      <w:bookmarkStart w:id="4" w:name="P83"/>
      <w:bookmarkEnd w:id="4"/>
      <w:r>
        <w:rPr>
          <w:sz w:val="22"/>
        </w:rPr>
        <w:t xml:space="preserve">3. Положения </w:t>
      </w:r>
      <w:hyperlink w:anchor="P34">
        <w:r>
          <w:rPr>
            <w:color w:val="0000FF"/>
            <w:sz w:val="22"/>
          </w:rPr>
          <w:t>статьи 3</w:t>
        </w:r>
      </w:hyperlink>
      <w:r>
        <w:rPr>
          <w:sz w:val="22"/>
        </w:rPr>
        <w:t xml:space="preserve"> настоящего Закона не применяются с 1 января 2027 года.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jc w:val="right"/>
      </w:pPr>
      <w:r>
        <w:rPr>
          <w:sz w:val="22"/>
        </w:rPr>
        <w:t>Губернатор</w:t>
      </w:r>
    </w:p>
    <w:p w:rsidR="00254A68" w:rsidRDefault="00254A68">
      <w:pPr>
        <w:pStyle w:val="ConsPlusNormal"/>
        <w:jc w:val="right"/>
      </w:pPr>
      <w:r>
        <w:rPr>
          <w:sz w:val="22"/>
        </w:rPr>
        <w:t>Пензенской области</w:t>
      </w:r>
    </w:p>
    <w:p w:rsidR="00254A68" w:rsidRDefault="00254A68">
      <w:pPr>
        <w:pStyle w:val="ConsPlusNormal"/>
        <w:jc w:val="right"/>
      </w:pPr>
      <w:r>
        <w:rPr>
          <w:sz w:val="22"/>
        </w:rPr>
        <w:t>О.В.МЕЛЬНИЧЕНКО</w:t>
      </w:r>
    </w:p>
    <w:p w:rsidR="00254A68" w:rsidRDefault="00254A68">
      <w:pPr>
        <w:pStyle w:val="ConsPlusNormal"/>
      </w:pPr>
      <w:r>
        <w:rPr>
          <w:sz w:val="22"/>
        </w:rPr>
        <w:t>г. Пенза</w:t>
      </w:r>
    </w:p>
    <w:p w:rsidR="00254A68" w:rsidRDefault="00254A68">
      <w:pPr>
        <w:pStyle w:val="ConsPlusNormal"/>
        <w:spacing w:before="220"/>
      </w:pPr>
      <w:r>
        <w:rPr>
          <w:sz w:val="22"/>
        </w:rPr>
        <w:t>22 ноября 2024 года</w:t>
      </w:r>
    </w:p>
    <w:p w:rsidR="00254A68" w:rsidRDefault="00254A68">
      <w:pPr>
        <w:pStyle w:val="ConsPlusNormal"/>
        <w:spacing w:before="220"/>
      </w:pPr>
      <w:r>
        <w:rPr>
          <w:sz w:val="22"/>
        </w:rPr>
        <w:t>N 4461-ЗПО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jc w:val="right"/>
        <w:outlineLvl w:val="0"/>
      </w:pPr>
      <w:r>
        <w:rPr>
          <w:sz w:val="22"/>
        </w:rPr>
        <w:t>Приложение</w:t>
      </w:r>
    </w:p>
    <w:p w:rsidR="00254A68" w:rsidRDefault="00254A68">
      <w:pPr>
        <w:pStyle w:val="ConsPlusNormal"/>
        <w:jc w:val="right"/>
      </w:pPr>
      <w:r>
        <w:rPr>
          <w:sz w:val="22"/>
        </w:rPr>
        <w:t>к Закону</w:t>
      </w:r>
    </w:p>
    <w:p w:rsidR="00254A68" w:rsidRDefault="00254A68">
      <w:pPr>
        <w:pStyle w:val="ConsPlusNormal"/>
        <w:jc w:val="right"/>
      </w:pPr>
      <w:r>
        <w:rPr>
          <w:sz w:val="22"/>
        </w:rPr>
        <w:t>Пензенской области</w:t>
      </w:r>
    </w:p>
    <w:p w:rsidR="00254A68" w:rsidRDefault="00254A68">
      <w:pPr>
        <w:pStyle w:val="ConsPlusNormal"/>
        <w:jc w:val="right"/>
      </w:pPr>
      <w:r>
        <w:rPr>
          <w:sz w:val="22"/>
        </w:rPr>
        <w:t>"О патентной системе</w:t>
      </w:r>
    </w:p>
    <w:p w:rsidR="00254A68" w:rsidRDefault="00254A68">
      <w:pPr>
        <w:pStyle w:val="ConsPlusNormal"/>
        <w:jc w:val="right"/>
      </w:pPr>
      <w:r>
        <w:rPr>
          <w:sz w:val="22"/>
        </w:rPr>
        <w:t>налогообложения на территории</w:t>
      </w:r>
    </w:p>
    <w:p w:rsidR="00254A68" w:rsidRDefault="00254A68">
      <w:pPr>
        <w:pStyle w:val="ConsPlusNormal"/>
        <w:jc w:val="right"/>
      </w:pPr>
      <w:r>
        <w:rPr>
          <w:sz w:val="22"/>
        </w:rPr>
        <w:t>Пензенской области"</w:t>
      </w:r>
    </w:p>
    <w:p w:rsidR="00254A68" w:rsidRDefault="00254A68">
      <w:pPr>
        <w:pStyle w:val="ConsPlusNormal"/>
        <w:jc w:val="both"/>
      </w:pPr>
    </w:p>
    <w:p w:rsidR="00254A68" w:rsidRDefault="00254A68">
      <w:pPr>
        <w:pStyle w:val="ConsPlusTitle"/>
        <w:jc w:val="center"/>
      </w:pPr>
      <w:bookmarkStart w:id="5" w:name="P103"/>
      <w:bookmarkEnd w:id="5"/>
      <w:r>
        <w:lastRenderedPageBreak/>
        <w:t>ВИДЫ</w:t>
      </w:r>
    </w:p>
    <w:p w:rsidR="00254A68" w:rsidRDefault="00254A68">
      <w:pPr>
        <w:pStyle w:val="ConsPlusTitle"/>
        <w:jc w:val="center"/>
      </w:pPr>
      <w:proofErr w:type="gramStart"/>
      <w:r>
        <w:t>ПРЕДПРИНИМАТЕЛЬСКОЙ ДЕЯТЕЛЬНОСТИ, ПО КОТОРЫМ ИНДИВИДУАЛЬНЫЕ</w:t>
      </w:r>
      <w:proofErr w:type="gramEnd"/>
    </w:p>
    <w:p w:rsidR="00254A68" w:rsidRDefault="00254A68">
      <w:pPr>
        <w:pStyle w:val="ConsPlusTitle"/>
        <w:jc w:val="center"/>
      </w:pPr>
      <w:r>
        <w:t>ПРЕДПРИНИМАТЕЛИ МОГУТ ПРИМЕНЯТЬ ПАТЕНТНУЮ СИСТЕМУ</w:t>
      </w:r>
    </w:p>
    <w:p w:rsidR="00254A68" w:rsidRDefault="00254A68">
      <w:pPr>
        <w:pStyle w:val="ConsPlusTitle"/>
        <w:jc w:val="center"/>
      </w:pPr>
      <w:r>
        <w:t>НАЛОГООБЛОЖЕНИЯ, И СООТВЕТСТВУЮЩИЕ ИМ РАЗМЕРЫ ПОТЕНЦИАЛЬНО</w:t>
      </w:r>
    </w:p>
    <w:p w:rsidR="00254A68" w:rsidRDefault="00254A68">
      <w:pPr>
        <w:pStyle w:val="ConsPlusTitle"/>
        <w:jc w:val="center"/>
      </w:pPr>
      <w:r>
        <w:t>ВОЗМОЖНОГО К ПОЛУЧЕНИЮ ДОХОДА НА ЕДИНИЦУ ФИЗИЧЕСКОГО</w:t>
      </w:r>
    </w:p>
    <w:p w:rsidR="00254A68" w:rsidRDefault="00254A68">
      <w:pPr>
        <w:pStyle w:val="ConsPlusTitle"/>
        <w:jc w:val="center"/>
      </w:pPr>
      <w:r>
        <w:t>ПОКАЗАТЕЛЯ ДЕЯТЕЛЬНОСТИ ИНДИВИДУАЛЬНОГО ПРЕДПРИНИМАТЕЛЯ</w:t>
      </w:r>
    </w:p>
    <w:p w:rsidR="00254A68" w:rsidRDefault="00254A6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54A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A68" w:rsidRDefault="00254A6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A68" w:rsidRDefault="00254A6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4A68" w:rsidRDefault="00254A68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Список изменяющих документов</w:t>
            </w:r>
          </w:p>
          <w:p w:rsidR="00254A68" w:rsidRDefault="00254A68">
            <w:pPr>
              <w:pStyle w:val="ConsPlusNormal"/>
              <w:jc w:val="center"/>
            </w:pPr>
            <w:proofErr w:type="gramStart"/>
            <w:r>
              <w:rPr>
                <w:color w:val="392C69"/>
                <w:sz w:val="22"/>
              </w:rPr>
              <w:t xml:space="preserve">(в ред. </w:t>
            </w:r>
            <w:hyperlink r:id="rId18">
              <w:r>
                <w:rPr>
                  <w:color w:val="0000FF"/>
                  <w:sz w:val="22"/>
                </w:rPr>
                <w:t>Закона</w:t>
              </w:r>
            </w:hyperlink>
            <w:r>
              <w:rPr>
                <w:color w:val="392C69"/>
                <w:sz w:val="22"/>
              </w:rPr>
              <w:t xml:space="preserve"> Пензенской обл. от 24.10.2025 N 4670-ЗПО,</w:t>
            </w:r>
            <w:proofErr w:type="gramEnd"/>
          </w:p>
          <w:p w:rsidR="00254A68" w:rsidRDefault="00254A68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 xml:space="preserve">с изм., </w:t>
            </w:r>
            <w:proofErr w:type="gramStart"/>
            <w:r>
              <w:rPr>
                <w:color w:val="392C69"/>
                <w:sz w:val="22"/>
              </w:rPr>
              <w:t>внесенными</w:t>
            </w:r>
            <w:proofErr w:type="gramEnd"/>
            <w:r>
              <w:rPr>
                <w:color w:val="392C69"/>
                <w:sz w:val="22"/>
              </w:rPr>
              <w:t xml:space="preserve"> </w:t>
            </w:r>
            <w:hyperlink r:id="rId19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color w:val="392C69"/>
                <w:sz w:val="22"/>
              </w:rPr>
              <w:t xml:space="preserve"> Пензенской обл.</w:t>
            </w:r>
          </w:p>
          <w:p w:rsidR="00254A68" w:rsidRDefault="00254A68">
            <w:pPr>
              <w:pStyle w:val="ConsPlusNormal"/>
              <w:jc w:val="center"/>
            </w:pPr>
            <w:r>
              <w:rPr>
                <w:color w:val="392C69"/>
                <w:sz w:val="22"/>
              </w:rPr>
              <w:t>от 24.04.2026 N 4757-ЗПО)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A68" w:rsidRDefault="00254A68">
            <w:pPr>
              <w:pStyle w:val="ConsPlusNormal"/>
            </w:pPr>
          </w:p>
        </w:tc>
      </w:tr>
    </w:tbl>
    <w:p w:rsidR="00254A68" w:rsidRDefault="00254A68">
      <w:pPr>
        <w:pStyle w:val="ConsPlusNormal"/>
        <w:jc w:val="both"/>
      </w:pPr>
    </w:p>
    <w:p w:rsidR="00254A68" w:rsidRDefault="00254A68">
      <w:pPr>
        <w:pStyle w:val="ConsPlusNormal"/>
        <w:sectPr w:rsidR="00254A68" w:rsidSect="00582B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"/>
        <w:gridCol w:w="2608"/>
        <w:gridCol w:w="2410"/>
        <w:gridCol w:w="2494"/>
        <w:gridCol w:w="2041"/>
      </w:tblGrid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N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Вид предпринимательской деятельности</w:t>
            </w:r>
          </w:p>
        </w:tc>
        <w:tc>
          <w:tcPr>
            <w:tcW w:w="4904" w:type="dxa"/>
            <w:gridSpan w:val="2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Физический показатель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Размер потенциально возможного к получению годового дохода на 1 единицу физического показателя деятельности индивидуального предпринимателя</w:t>
            </w:r>
          </w:p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(тыс. рублей)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Ремонт, чистка, окраска и пошив обуви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Парикмахерские и косметические услуги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Стирка, химическая </w:t>
            </w:r>
            <w:r>
              <w:rPr>
                <w:sz w:val="22"/>
              </w:rPr>
              <w:lastRenderedPageBreak/>
              <w:t>чистка и крашение текстильных и меховых изделий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средняя численность </w:t>
            </w:r>
            <w:r>
              <w:rPr>
                <w:sz w:val="22"/>
              </w:rPr>
              <w:lastRenderedPageBreak/>
              <w:t>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lastRenderedPageBreak/>
              <w:t xml:space="preserve">наемных работников не </w:t>
            </w: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lastRenderedPageBreak/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</w:t>
            </w:r>
            <w:r>
              <w:rPr>
                <w:sz w:val="22"/>
              </w:rPr>
              <w:lastRenderedPageBreak/>
              <w:t>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Ремонт мебели и предметов домашнего обихода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в области фотографии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Ремонт, техническое обслуживание автотранспортных и </w:t>
            </w:r>
            <w:proofErr w:type="spellStart"/>
            <w:r>
              <w:rPr>
                <w:sz w:val="22"/>
              </w:rPr>
              <w:t>мототранспортных</w:t>
            </w:r>
            <w:proofErr w:type="spellEnd"/>
            <w:r>
              <w:rPr>
                <w:sz w:val="22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1 510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1 660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1 810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1 960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2 110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2 410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2 710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2 860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bookmarkStart w:id="6" w:name="P439"/>
            <w:bookmarkEnd w:id="6"/>
            <w:r>
              <w:rPr>
                <w:sz w:val="22"/>
              </w:rPr>
              <w:t>10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автотранспортное средство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единица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2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3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4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1 520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1 900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2 280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2 660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3 040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3 800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и более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3 900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</w:t>
            </w:r>
            <w:r>
              <w:rPr>
                <w:sz w:val="22"/>
              </w:rPr>
              <w:lastRenderedPageBreak/>
              <w:t>предназначенные для оказания таких услуг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</w:pP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bookmarkStart w:id="7" w:name="P469"/>
            <w:bookmarkEnd w:id="7"/>
            <w:r>
              <w:rPr>
                <w:sz w:val="22"/>
              </w:rPr>
              <w:lastRenderedPageBreak/>
              <w:t>11.1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такси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автотранспортное средство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единица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2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3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4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1 600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1 920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2 880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3 200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3 520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и более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3 840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bookmarkStart w:id="8" w:name="P496"/>
            <w:bookmarkEnd w:id="8"/>
            <w:r>
              <w:rPr>
                <w:sz w:val="22"/>
              </w:rPr>
              <w:t>11.2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</w:t>
            </w:r>
            <w:r>
              <w:rPr>
                <w:sz w:val="22"/>
              </w:rPr>
              <w:lastRenderedPageBreak/>
              <w:t>распоряжения) транспортные средства, предназначенные для оказания таких услуг, за исключением деятельности такси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пассажирское место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каждое пассажирское место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46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Услуги по остеклению балконов и лоджий, </w:t>
            </w:r>
            <w:r>
              <w:rPr>
                <w:sz w:val="22"/>
              </w:rPr>
              <w:lastRenderedPageBreak/>
              <w:t>нарезке стекла и зеркал, художественной обработке стекла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присмотру и уходу за детьми и больными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Сбор тары и пригодных для вторичного использования материалов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ветеринарная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</w:pP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19.1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площадь недвижимости, сдаваемой в аренду (наем), кв. метр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каждый кв. метр сдаваемой в аренду (наем) площади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19.2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площадь недвижимости, сдаваемой в аренду (наем), кв. метр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каждый кв. метр сдаваемой в аренду (наем) площади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14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Изготовление изделий народных художественных промыслов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и более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Производство и реставрация ковров и ковровых изделий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Ремонт ювелирных </w:t>
            </w:r>
            <w:r>
              <w:rPr>
                <w:sz w:val="22"/>
              </w:rPr>
              <w:lastRenderedPageBreak/>
              <w:t>изделий, бижутерии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средняя численность </w:t>
            </w:r>
            <w:r>
              <w:rPr>
                <w:sz w:val="22"/>
              </w:rPr>
              <w:lastRenderedPageBreak/>
              <w:t>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lastRenderedPageBreak/>
              <w:t xml:space="preserve">наемных работников не </w:t>
            </w: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lastRenderedPageBreak/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Чеканка и гравировка ювелирных изделий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1 145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Проведение занятий по физической культуре и спорту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платных туалетов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bookmarkStart w:id="9" w:name="P1163"/>
            <w:bookmarkEnd w:id="9"/>
            <w:r>
              <w:rPr>
                <w:sz w:val="22"/>
              </w:rPr>
              <w:t>32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Оказание услуг по перевозке пассажиров водным транспортом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судно водного транспорта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единица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1 690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2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3 380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3 и более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3 900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bookmarkStart w:id="10" w:name="P1172"/>
            <w:bookmarkEnd w:id="10"/>
            <w:r>
              <w:rPr>
                <w:sz w:val="22"/>
              </w:rPr>
              <w:t>33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Оказание услуг по перевозке грузов водным транспортом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судно водного транспорта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единица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2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3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4 единицы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1 520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1 900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2 280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2 660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3 040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3 800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и более единиц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3 900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proofErr w:type="gramStart"/>
            <w:r>
              <w:rPr>
                <w:sz w:val="22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по благоустройству ландшафта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974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1 113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Охота, отлов и отстрел диких животных, в том числе предоставление </w:t>
            </w:r>
            <w:r>
              <w:rPr>
                <w:sz w:val="22"/>
              </w:rPr>
              <w:lastRenderedPageBreak/>
              <w:t>услуг в этих областях, деятельность, связанная со спортивно-любительской охотой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</w:t>
            </w:r>
            <w:r>
              <w:rPr>
                <w:sz w:val="22"/>
              </w:rPr>
              <w:lastRenderedPageBreak/>
              <w:t xml:space="preserve">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0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от 12 апреля 2010 года N 61-ФЗ "Об обращении лекарственных средств"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1 400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2 100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2 820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3 520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и более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3 900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и более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прокату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экскурсионные туристические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1 690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2 100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2 500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3 000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3 380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3 800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и более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3 900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Организация похорон и предоставление связанных с ними услуг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1 690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2 100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2 500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3 000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3 380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3 800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и более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3 900</w:t>
            </w:r>
          </w:p>
        </w:tc>
      </w:tr>
      <w:tr w:rsidR="00254A68">
        <w:tblPrEx>
          <w:tblBorders>
            <w:insideH w:val="nil"/>
          </w:tblBorders>
        </w:tblPrEx>
        <w:tc>
          <w:tcPr>
            <w:tcW w:w="663" w:type="dxa"/>
            <w:tcBorders>
              <w:bottom w:val="nil"/>
            </w:tcBorders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9553" w:type="dxa"/>
            <w:gridSpan w:val="4"/>
            <w:tcBorders>
              <w:bottom w:val="nil"/>
            </w:tcBorders>
          </w:tcPr>
          <w:p w:rsidR="00254A68" w:rsidRDefault="00254A68">
            <w:pPr>
              <w:pStyle w:val="ConsPlusNormal"/>
              <w:jc w:val="both"/>
            </w:pPr>
            <w:r>
              <w:rPr>
                <w:sz w:val="22"/>
              </w:rPr>
              <w:t xml:space="preserve">Утратил силу с 01.01.2026. - </w:t>
            </w:r>
            <w:hyperlink r:id="rId21">
              <w:r>
                <w:rPr>
                  <w:color w:val="0000FF"/>
                  <w:sz w:val="22"/>
                </w:rPr>
                <w:t>Закон</w:t>
              </w:r>
            </w:hyperlink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Пензенской</w:t>
            </w:r>
            <w:proofErr w:type="gramEnd"/>
            <w:r>
              <w:rPr>
                <w:sz w:val="22"/>
              </w:rPr>
              <w:t xml:space="preserve"> обл. от 24.10.2025 N 4670-ЗПО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площадь торгового зала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каждый квадратный метр площади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38,4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46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</w:pP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46.1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Розничная торговля, осуществляемая через объекты стационарной торговой сети, не имеющие торговых залов (за исключением торговых автоматов)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площадь объекта стационарной торговой сети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каждый квадратный метр площади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52,9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46.2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Розничная торговля, осуществляемая с использованием торговых автоматов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объект торговой сети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1 объект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150,0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bookmarkStart w:id="11" w:name="P1497"/>
            <w:bookmarkEnd w:id="11"/>
            <w:r>
              <w:rPr>
                <w:sz w:val="22"/>
              </w:rPr>
              <w:t>46.3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объект торговой сети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1 объект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210,0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площадь зала обслуживания посетителей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каждый квадратный метр площади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20,6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объект организации общественного питания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1 объект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49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Оказание услуг по забою и транспортировке скота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195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405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615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685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Производство кожи и изделий из кожи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Сбор и заготовка пищевых лесных ресурсов, </w:t>
            </w:r>
            <w:proofErr w:type="spellStart"/>
            <w:r>
              <w:rPr>
                <w:sz w:val="22"/>
              </w:rPr>
              <w:t>недревесных</w:t>
            </w:r>
            <w:proofErr w:type="spellEnd"/>
            <w:r>
              <w:rPr>
                <w:sz w:val="22"/>
              </w:rPr>
              <w:t xml:space="preserve"> лесных ресурсов и лекарственных растений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215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355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670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Переработка и консервирование фруктов и овощей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Производство молочной продукции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Растениеводство, услуги в области растениеводства. </w:t>
            </w:r>
            <w:r>
              <w:rPr>
                <w:sz w:val="22"/>
              </w:rPr>
              <w:lastRenderedPageBreak/>
              <w:t>Животноводство, услуги в области животноводства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387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442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552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608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663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718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828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883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993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1 048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1 103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Производство хлебобулочных и мучных кондитерских изделий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225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295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505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575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715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Лесоводство и прочая лесохозяйственная деятельность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225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295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505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575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715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по письменному и устному переводу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405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615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755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по уходу за престарелыми и инвалидами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215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355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670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60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</w:pP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60.1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Сбор, обработка и утилизация отходов, а также обработка вторичного сырья, за исключением обработки вторичного неметаллического сырья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60.2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Обработка вторичного неметаллического сырья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145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215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355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670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Резка, обработка и отделка камня для памятников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rPr>
                <w:sz w:val="22"/>
              </w:rPr>
              <w:t>web</w:t>
            </w:r>
            <w:proofErr w:type="spellEnd"/>
            <w:r>
              <w:rPr>
                <w:sz w:val="22"/>
              </w:rPr>
              <w:t xml:space="preserve">-страниц, включая их </w:t>
            </w:r>
            <w:r>
              <w:rPr>
                <w:sz w:val="22"/>
              </w:rPr>
              <w:lastRenderedPageBreak/>
              <w:t>адаптацию и модификацию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Ремонт компьютеров и коммуникационного оборудования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64</w:t>
            </w:r>
          </w:p>
        </w:tc>
        <w:tc>
          <w:tcPr>
            <w:tcW w:w="2608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Деятельность стоянок для транспортных средств</w:t>
            </w:r>
          </w:p>
        </w:tc>
        <w:tc>
          <w:tcPr>
            <w:tcW w:w="2410" w:type="dxa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площадь стоянки для транспортных средств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за каждый квадратный метр площади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2,25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уходу за домашними животными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изготовлению валяной обуви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69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Услуги по изготовлению сельскохозяйственного </w:t>
            </w:r>
            <w:r>
              <w:rPr>
                <w:sz w:val="22"/>
              </w:rPr>
              <w:lastRenderedPageBreak/>
              <w:t>инвентаря из материала заказчика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Ремонт игрушек и подобных им изделий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Ремонт спортивного и туристического оборудования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74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Услуги по распиловке дров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76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Сборка и ремонт очков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77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78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Переплетные, брошюровочные, окантовочные, картонажные работы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79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Услуги по ремонту сифонов и </w:t>
            </w:r>
            <w:proofErr w:type="spellStart"/>
            <w:r>
              <w:rPr>
                <w:sz w:val="22"/>
              </w:rPr>
              <w:t>автосифонов</w:t>
            </w:r>
            <w:proofErr w:type="spellEnd"/>
            <w:r>
              <w:rPr>
                <w:sz w:val="22"/>
              </w:rPr>
              <w:t>, в том числе зарядка газовых баллончиков для сифонов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80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Обработка металлов и нанесение покрытий на металлы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82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 xml:space="preserve">Обработка металлических </w:t>
            </w:r>
            <w:r>
              <w:rPr>
                <w:sz w:val="22"/>
              </w:rPr>
              <w:lastRenderedPageBreak/>
              <w:t>изделий механическая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средняя численность </w:t>
            </w:r>
            <w:r>
              <w:rPr>
                <w:sz w:val="22"/>
              </w:rPr>
              <w:lastRenderedPageBreak/>
              <w:t>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lastRenderedPageBreak/>
              <w:t xml:space="preserve">наемных работников не </w:t>
            </w:r>
            <w:r>
              <w:rPr>
                <w:sz w:val="22"/>
              </w:rPr>
              <w:lastRenderedPageBreak/>
              <w:t>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lastRenderedPageBreak/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700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770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910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980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1 190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1 260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1 329</w:t>
            </w:r>
          </w:p>
        </w:tc>
      </w:tr>
      <w:tr w:rsidR="00254A68">
        <w:tc>
          <w:tcPr>
            <w:tcW w:w="663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83</w:t>
            </w:r>
          </w:p>
        </w:tc>
        <w:tc>
          <w:tcPr>
            <w:tcW w:w="2608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2410" w:type="dxa"/>
            <w:vMerge w:val="restart"/>
            <w:vAlign w:val="center"/>
          </w:tcPr>
          <w:p w:rsidR="00254A68" w:rsidRDefault="00254A68">
            <w:pPr>
              <w:pStyle w:val="ConsPlusNormal"/>
              <w:jc w:val="center"/>
            </w:pPr>
            <w:r>
              <w:rPr>
                <w:sz w:val="22"/>
              </w:rPr>
              <w:t>средняя численность наемных работников</w:t>
            </w: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наемных работников не имеется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240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 наемный работник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320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2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373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3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426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 xml:space="preserve">4 </w:t>
            </w:r>
            <w:proofErr w:type="gramStart"/>
            <w:r>
              <w:rPr>
                <w:sz w:val="22"/>
              </w:rPr>
              <w:t>наемных</w:t>
            </w:r>
            <w:proofErr w:type="gramEnd"/>
            <w:r>
              <w:rPr>
                <w:sz w:val="22"/>
              </w:rPr>
              <w:t xml:space="preserve"> работника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479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532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6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585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7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638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8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691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9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744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10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797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11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850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12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903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13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956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14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1 009</w:t>
            </w:r>
          </w:p>
        </w:tc>
      </w:tr>
      <w:tr w:rsidR="00254A68">
        <w:tc>
          <w:tcPr>
            <w:tcW w:w="663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608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10" w:type="dxa"/>
            <w:vMerge/>
          </w:tcPr>
          <w:p w:rsidR="00254A68" w:rsidRDefault="00254A68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254A68" w:rsidRDefault="00254A68">
            <w:pPr>
              <w:pStyle w:val="ConsPlusNormal"/>
            </w:pPr>
            <w:r>
              <w:rPr>
                <w:sz w:val="22"/>
              </w:rPr>
              <w:t>15 наемных работников</w:t>
            </w:r>
          </w:p>
        </w:tc>
        <w:tc>
          <w:tcPr>
            <w:tcW w:w="2041" w:type="dxa"/>
            <w:vAlign w:val="center"/>
          </w:tcPr>
          <w:p w:rsidR="00254A68" w:rsidRDefault="00254A68">
            <w:pPr>
              <w:pStyle w:val="ConsPlusNormal"/>
              <w:jc w:val="right"/>
            </w:pPr>
            <w:r>
              <w:rPr>
                <w:sz w:val="22"/>
              </w:rPr>
              <w:t>1 062</w:t>
            </w:r>
          </w:p>
        </w:tc>
      </w:tr>
    </w:tbl>
    <w:p w:rsidR="00254A68" w:rsidRDefault="00254A68">
      <w:pPr>
        <w:pStyle w:val="ConsPlusNormal"/>
        <w:sectPr w:rsidR="00254A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B12CB" w:rsidRDefault="003A13C0" w:rsidP="001918FA">
      <w:pPr>
        <w:pStyle w:val="ConsPlusNormal"/>
        <w:jc w:val="both"/>
      </w:pPr>
    </w:p>
    <w:sectPr w:rsidR="003B12C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68"/>
    <w:rsid w:val="000070D3"/>
    <w:rsid w:val="001918FA"/>
    <w:rsid w:val="00254A68"/>
    <w:rsid w:val="00325F7F"/>
    <w:rsid w:val="0038386A"/>
    <w:rsid w:val="003A13C0"/>
    <w:rsid w:val="004F798C"/>
    <w:rsid w:val="006D7F59"/>
    <w:rsid w:val="00E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79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7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F798C"/>
    <w:pPr>
      <w:ind w:left="720"/>
      <w:contextualSpacing/>
    </w:pPr>
  </w:style>
  <w:style w:type="paragraph" w:customStyle="1" w:styleId="ConsPlusNonformat">
    <w:name w:val="ConsPlusNonformat"/>
    <w:rsid w:val="00254A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4A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4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4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4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4A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F79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F7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F798C"/>
    <w:pPr>
      <w:ind w:left="720"/>
      <w:contextualSpacing/>
    </w:pPr>
  </w:style>
  <w:style w:type="paragraph" w:customStyle="1" w:styleId="ConsPlusNonformat">
    <w:name w:val="ConsPlusNonformat"/>
    <w:rsid w:val="00254A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4A6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4A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4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4A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4A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09&amp;dst=20528" TargetMode="External"/><Relationship Id="rId13" Type="http://schemas.openxmlformats.org/officeDocument/2006/relationships/hyperlink" Target="https://login.consultant.ru/link/?req=doc&amp;base=LAW&amp;n=532909&amp;dst=11373" TargetMode="External"/><Relationship Id="rId18" Type="http://schemas.openxmlformats.org/officeDocument/2006/relationships/hyperlink" Target="https://login.consultant.ru/link/?req=doc&amp;base=RLAW021&amp;n=210663&amp;dst=10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21&amp;n=210663&amp;dst=100007" TargetMode="External"/><Relationship Id="rId7" Type="http://schemas.openxmlformats.org/officeDocument/2006/relationships/hyperlink" Target="https://login.consultant.ru/link/?req=doc&amp;base=RLAW021&amp;n=217895&amp;dst=100007" TargetMode="External"/><Relationship Id="rId12" Type="http://schemas.openxmlformats.org/officeDocument/2006/relationships/hyperlink" Target="https://login.consultant.ru/link/?req=doc&amp;base=LAW&amp;n=532909&amp;dst=11919" TargetMode="External"/><Relationship Id="rId17" Type="http://schemas.openxmlformats.org/officeDocument/2006/relationships/hyperlink" Target="https://login.consultant.ru/link/?req=doc&amp;base=RLAW021&amp;n=1992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72005&amp;dst=100048" TargetMode="External"/><Relationship Id="rId20" Type="http://schemas.openxmlformats.org/officeDocument/2006/relationships/hyperlink" Target="https://login.consultant.ru/link/?req=doc&amp;base=LAW&amp;n=5117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0663&amp;dst=100007" TargetMode="External"/><Relationship Id="rId11" Type="http://schemas.openxmlformats.org/officeDocument/2006/relationships/hyperlink" Target="https://login.consultant.ru/link/?req=doc&amp;base=LAW&amp;n=71761&amp;dst=100031" TargetMode="External"/><Relationship Id="rId5" Type="http://schemas.openxmlformats.org/officeDocument/2006/relationships/hyperlink" Target="https://login.consultant.ru/link/?req=doc&amp;base=REXP021&amp;n=18446&amp;dst=100007" TargetMode="External"/><Relationship Id="rId15" Type="http://schemas.openxmlformats.org/officeDocument/2006/relationships/hyperlink" Target="https://login.consultant.ru/link/?req=doc&amp;base=RLAW021&amp;n=1992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2909&amp;dst=24239" TargetMode="External"/><Relationship Id="rId19" Type="http://schemas.openxmlformats.org/officeDocument/2006/relationships/hyperlink" Target="https://login.consultant.ru/link/?req=doc&amp;base=RLAW021&amp;n=217895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2909&amp;dst=20132" TargetMode="External"/><Relationship Id="rId14" Type="http://schemas.openxmlformats.org/officeDocument/2006/relationships/hyperlink" Target="https://login.consultant.ru/link/?req=doc&amp;base=RLAW021&amp;n=172005&amp;dst=100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8769</Words>
  <Characters>49985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Сироткина Юлия Сергеевна</dc:creator>
  <cp:lastModifiedBy>User</cp:lastModifiedBy>
  <cp:revision>5</cp:revision>
  <dcterms:created xsi:type="dcterms:W3CDTF">2026-05-04T10:14:00Z</dcterms:created>
  <dcterms:modified xsi:type="dcterms:W3CDTF">2026-05-13T08:49:00Z</dcterms:modified>
</cp:coreProperties>
</file>