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BC" w:rsidRPr="00797DDC" w:rsidRDefault="006C77BC" w:rsidP="006C77BC">
      <w:pPr>
        <w:pStyle w:val="ConsPlusNormal"/>
        <w:widowControl/>
        <w:ind w:firstLine="709"/>
        <w:jc w:val="center"/>
        <w:rPr>
          <w:rFonts w:ascii="Times New Roman" w:hAnsi="Times New Roman" w:cs="Times New Roman"/>
          <w:sz w:val="26"/>
          <w:szCs w:val="26"/>
        </w:rPr>
      </w:pPr>
      <w:bookmarkStart w:id="0" w:name="_GoBack"/>
      <w:bookmarkEnd w:id="0"/>
      <w:r w:rsidRPr="006C77BC">
        <w:rPr>
          <w:rFonts w:ascii="Times New Roman" w:hAnsi="Times New Roman" w:cs="Times New Roman"/>
          <w:sz w:val="24"/>
          <w:szCs w:val="24"/>
        </w:rPr>
        <w:t xml:space="preserve"> </w:t>
      </w:r>
      <w:r w:rsidR="00367B01" w:rsidRPr="00797DDC">
        <w:rPr>
          <w:rFonts w:ascii="Times New Roman" w:hAnsi="Times New Roman" w:cs="Times New Roman"/>
          <w:sz w:val="26"/>
          <w:szCs w:val="26"/>
        </w:rPr>
        <w:t>Отчет</w:t>
      </w:r>
      <w:r w:rsidRPr="00797DDC">
        <w:rPr>
          <w:rFonts w:ascii="Times New Roman" w:hAnsi="Times New Roman" w:cs="Times New Roman"/>
          <w:sz w:val="26"/>
          <w:szCs w:val="26"/>
        </w:rPr>
        <w:t xml:space="preserve"> </w:t>
      </w:r>
    </w:p>
    <w:p w:rsidR="006C77BC" w:rsidRPr="00797DDC" w:rsidRDefault="00797DDC" w:rsidP="00797DDC">
      <w:pPr>
        <w:widowControl/>
        <w:autoSpaceDE/>
        <w:autoSpaceDN/>
        <w:adjustRightInd/>
        <w:snapToGrid w:val="0"/>
        <w:ind w:firstLine="709"/>
        <w:jc w:val="center"/>
        <w:rPr>
          <w:sz w:val="26"/>
          <w:szCs w:val="26"/>
        </w:rPr>
      </w:pPr>
      <w:r w:rsidRPr="00797DDC">
        <w:rPr>
          <w:rFonts w:eastAsia="Times New Roman"/>
          <w:sz w:val="26"/>
          <w:szCs w:val="26"/>
        </w:rPr>
        <w:t>о ходе выполнения мероприятий, предусмотренных планом противодействия коррупции в УФНС России по Псковской области</w:t>
      </w:r>
      <w:r w:rsidR="006C77BC" w:rsidRPr="00797DDC">
        <w:rPr>
          <w:sz w:val="26"/>
          <w:szCs w:val="26"/>
        </w:rPr>
        <w:t xml:space="preserve"> за </w:t>
      </w:r>
      <w:r w:rsidR="006B07D0">
        <w:rPr>
          <w:sz w:val="26"/>
          <w:szCs w:val="26"/>
        </w:rPr>
        <w:t>второе</w:t>
      </w:r>
      <w:r w:rsidR="006C77BC" w:rsidRPr="00797DDC">
        <w:rPr>
          <w:sz w:val="26"/>
          <w:szCs w:val="26"/>
        </w:rPr>
        <w:t xml:space="preserve"> полугодие 202</w:t>
      </w:r>
      <w:r w:rsidR="003F29B7" w:rsidRPr="00797DDC">
        <w:rPr>
          <w:sz w:val="26"/>
          <w:szCs w:val="26"/>
        </w:rPr>
        <w:t>5</w:t>
      </w:r>
      <w:r w:rsidR="006C77BC" w:rsidRPr="00797DDC">
        <w:rPr>
          <w:sz w:val="26"/>
          <w:szCs w:val="26"/>
        </w:rPr>
        <w:t xml:space="preserve"> года</w:t>
      </w:r>
    </w:p>
    <w:p w:rsidR="005C470E" w:rsidRPr="00797DDC" w:rsidRDefault="005C470E" w:rsidP="006C77BC">
      <w:pPr>
        <w:pStyle w:val="Style1"/>
        <w:widowControl/>
        <w:rPr>
          <w:sz w:val="26"/>
          <w:szCs w:val="26"/>
        </w:rPr>
      </w:pP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Управлением в соответствии с приказом ФНС России от 23.01.2025 № ЕД-7-4/33@ «Об утверждении Плана противодействия коррупции Федеральной налоговой службы на 2025 год», утвержден и поддерживается в актуальном состоянии план противодействия коррупции Управления на 2025 год (далее - План). Деятельность Управления по противодействию коррупции осуществляется в соответствии с утвержденным Планом. В Плане противодействия коррупции отражены основные направления предупреждения и профилактики коррупционных правонарушений. Все мероприятия, предусмотренные Планом, выполняются.</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Во втором полугодии 2025 года в Управлении проведено 1 заседание комиссии по соблюдению требований к служебному поведению государственных гражданских служащих и урегулированию конфликта интересов (далее - Комиссия).</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На заседании Комиссии были рассмотрены следующие вопросы:</w:t>
      </w:r>
    </w:p>
    <w:p w:rsidR="006A2CD5" w:rsidRPr="006A2CD5" w:rsidRDefault="006A2CD5" w:rsidP="006A2CD5">
      <w:pPr>
        <w:widowControl/>
        <w:tabs>
          <w:tab w:val="left" w:pos="567"/>
          <w:tab w:val="left" w:pos="851"/>
          <w:tab w:val="left" w:pos="993"/>
        </w:tabs>
        <w:autoSpaceDE/>
        <w:autoSpaceDN/>
        <w:adjustRightInd/>
        <w:ind w:firstLine="709"/>
        <w:jc w:val="both"/>
        <w:rPr>
          <w:rFonts w:eastAsia="Times New Roman"/>
          <w:snapToGrid w:val="0"/>
          <w:sz w:val="28"/>
          <w:szCs w:val="28"/>
        </w:rPr>
      </w:pPr>
      <w:r w:rsidRPr="006A2CD5">
        <w:rPr>
          <w:rFonts w:eastAsia="Times New Roman"/>
          <w:snapToGrid w:val="0"/>
          <w:sz w:val="28"/>
          <w:szCs w:val="28"/>
        </w:rPr>
        <w:t>1.</w:t>
      </w:r>
      <w:r w:rsidRPr="006A2CD5">
        <w:rPr>
          <w:rFonts w:eastAsia="Times New Roman"/>
          <w:snapToGrid w:val="0"/>
          <w:sz w:val="28"/>
          <w:szCs w:val="28"/>
          <w:lang w:val="en-US"/>
        </w:rPr>
        <w:t> </w:t>
      </w:r>
      <w:r w:rsidRPr="006A2CD5">
        <w:rPr>
          <w:rFonts w:eastAsia="Times New Roman"/>
          <w:snapToGrid w:val="0"/>
          <w:sz w:val="28"/>
          <w:szCs w:val="28"/>
        </w:rPr>
        <w:t>Доклад отдела профилактики коррупционных и иных правонарушений и безопасности от 10.10.2025 о совершении коррупционного правонарушения государственным гражданским служащим. Комиссией принято решение - признать, что сведения, представленные государственным гражданским служащим в справках о доходах, расходах, об имуществе и обязательствах имущественного характера за отчетный 2023, 2024 год, являются неполными, рекомендовано применить меру дисциплинарной ответственности в виде замечания.</w:t>
      </w:r>
    </w:p>
    <w:p w:rsidR="006A2CD5" w:rsidRPr="006A2CD5" w:rsidRDefault="006A2CD5" w:rsidP="006A2CD5">
      <w:pPr>
        <w:widowControl/>
        <w:tabs>
          <w:tab w:val="left" w:pos="974"/>
        </w:tabs>
        <w:ind w:firstLine="709"/>
        <w:jc w:val="both"/>
        <w:rPr>
          <w:rFonts w:eastAsia="Times New Roman"/>
          <w:sz w:val="28"/>
          <w:szCs w:val="28"/>
        </w:rPr>
      </w:pPr>
      <w:r w:rsidRPr="006A2CD5">
        <w:rPr>
          <w:rFonts w:eastAsia="Times New Roman"/>
          <w:snapToGrid w:val="0"/>
          <w:sz w:val="28"/>
          <w:szCs w:val="28"/>
        </w:rPr>
        <w:t>2.</w:t>
      </w:r>
      <w:r w:rsidRPr="006A2CD5">
        <w:rPr>
          <w:rFonts w:eastAsia="Times New Roman"/>
          <w:snapToGrid w:val="0"/>
          <w:sz w:val="28"/>
          <w:szCs w:val="28"/>
          <w:lang w:val="en-US"/>
        </w:rPr>
        <w:t> </w:t>
      </w:r>
      <w:r w:rsidRPr="006A2CD5">
        <w:rPr>
          <w:rFonts w:eastAsia="Times New Roman"/>
          <w:snapToGrid w:val="0"/>
          <w:sz w:val="28"/>
          <w:szCs w:val="28"/>
        </w:rPr>
        <w:t>Доклад отдела профилактики коррупционных и иных правонарушений и безопасности от 03.10.2025 о совершении коррупционного правонарушения государственным гражданским служащим. Комиссией принято решение - признать, что сведения, представленные государственным гражданским служащим в справке о доходах, расходах, об имуществе и обязательствах имущественного характера за отчетный 2023 год, являются неполными, рекомендовано применить меру дисциплинарной ответственности в виде выговора</w:t>
      </w:r>
      <w:r w:rsidRPr="006A2CD5">
        <w:rPr>
          <w:rFonts w:eastAsia="Times New Roman"/>
          <w:sz w:val="28"/>
          <w:szCs w:val="28"/>
        </w:rPr>
        <w:t>.</w:t>
      </w:r>
    </w:p>
    <w:p w:rsidR="006A2CD5" w:rsidRPr="006A2CD5" w:rsidRDefault="006A2CD5" w:rsidP="006A2CD5">
      <w:pPr>
        <w:ind w:firstLine="709"/>
        <w:jc w:val="both"/>
        <w:rPr>
          <w:rFonts w:eastAsia="Times New Roman"/>
          <w:sz w:val="28"/>
          <w:szCs w:val="28"/>
        </w:rPr>
      </w:pPr>
      <w:proofErr w:type="gramStart"/>
      <w:r w:rsidRPr="006A2CD5">
        <w:rPr>
          <w:rFonts w:eastAsia="Times New Roman"/>
          <w:sz w:val="28"/>
          <w:szCs w:val="28"/>
        </w:rPr>
        <w:t>Проверки в соответствии с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а также процедуры в соответствии с Федеральным законом от 03.12.2012 № 230-ФЗ «О контроле за соответствием расходов лиц, замещающих государственные должности, и</w:t>
      </w:r>
      <w:proofErr w:type="gramEnd"/>
      <w:r w:rsidRPr="006A2CD5">
        <w:rPr>
          <w:rFonts w:eastAsia="Times New Roman"/>
          <w:sz w:val="28"/>
          <w:szCs w:val="28"/>
        </w:rPr>
        <w:t xml:space="preserve"> иных лиц их доходам», во втором полугодии 2025 года не проводились.</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По вопросу обеспечения открытости и доступности информации о деятельности Управления.</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При организации работы с налогоплательщиками основное внимание уделяется дистанционному оказанию услуг. Подать декларацию, заплатить налоги, получить справку о доходах, зарегистрироваться в качестве индивидуального предпринимателя, а также зарегистрировать компанию можно в электронном виде.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На сайте ФНС России размещено более 70 электронных сервисов.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lastRenderedPageBreak/>
        <w:t xml:space="preserve">По состоянию на 18.12.2025 года удельный вес деклараций, поступивших в электронном виде по телекоммуникационным каналам связи, составил 98 %.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За 9 месяцев 2025 года поступило 228140 запросов на формирование: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 справки о наличии положительного, отрицательного или нулевого сальдо (64888);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 справки об исполнении обязанности по уплате налогов (20519);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 справки о принадлежности сумм денежных средств, перечисленных в качестве единого налогового платежа (142733).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Все запросы направлены в электронном виде.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В 2025 году в региональном блоке официального Интернет-сайта ФНС России размещено 129 новостных материалов.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В целях информирования налогоплательщиков по вопросам налогового законодательства акцент ставится на Интернет-ресурсы. Так, в 2025 году в средствах массовой информации и на интернет-сайтах других ведомств опубликовано 318 материалов. Кроме того, информация для налогоплательщиков публикуется в социальной сети </w:t>
      </w:r>
      <w:proofErr w:type="spellStart"/>
      <w:r w:rsidRPr="006A2CD5">
        <w:rPr>
          <w:rFonts w:eastAsia="Calibri"/>
          <w:color w:val="000000"/>
          <w:sz w:val="28"/>
          <w:szCs w:val="28"/>
          <w:lang w:eastAsia="en-US"/>
        </w:rPr>
        <w:t>ВКонтакте</w:t>
      </w:r>
      <w:proofErr w:type="spellEnd"/>
      <w:r w:rsidRPr="006A2CD5">
        <w:rPr>
          <w:rFonts w:eastAsia="Calibri"/>
          <w:color w:val="000000"/>
          <w:sz w:val="28"/>
          <w:szCs w:val="28"/>
          <w:lang w:eastAsia="en-US"/>
        </w:rPr>
        <w:t xml:space="preserve"> (страница руководителя УФНС и страница Управления), а также размещается в </w:t>
      </w:r>
      <w:proofErr w:type="spellStart"/>
      <w:r w:rsidRPr="006A2CD5">
        <w:rPr>
          <w:rFonts w:eastAsia="Calibri"/>
          <w:color w:val="000000"/>
          <w:sz w:val="28"/>
          <w:szCs w:val="28"/>
          <w:lang w:eastAsia="en-US"/>
        </w:rPr>
        <w:t>Телеграм</w:t>
      </w:r>
      <w:proofErr w:type="spellEnd"/>
      <w:r w:rsidRPr="006A2CD5">
        <w:rPr>
          <w:rFonts w:eastAsia="Calibri"/>
          <w:color w:val="000000"/>
          <w:sz w:val="28"/>
          <w:szCs w:val="28"/>
          <w:lang w:eastAsia="en-US"/>
        </w:rPr>
        <w:t xml:space="preserve">-канале и социальной сети «Одноклассники». Всего за 2025 год опубликовано 564 материала. Важная роль в информировании налогоплательщиков об актуальных изменениях в налоговом законодательстве отводится семинарам и </w:t>
      </w:r>
      <w:proofErr w:type="spellStart"/>
      <w:r w:rsidRPr="006A2CD5">
        <w:rPr>
          <w:rFonts w:eastAsia="Calibri"/>
          <w:color w:val="000000"/>
          <w:sz w:val="28"/>
          <w:szCs w:val="28"/>
          <w:lang w:eastAsia="en-US"/>
        </w:rPr>
        <w:t>вебинарам</w:t>
      </w:r>
      <w:proofErr w:type="spellEnd"/>
      <w:r w:rsidRPr="006A2CD5">
        <w:rPr>
          <w:rFonts w:eastAsia="Calibri"/>
          <w:color w:val="000000"/>
          <w:sz w:val="28"/>
          <w:szCs w:val="28"/>
          <w:lang w:eastAsia="en-US"/>
        </w:rPr>
        <w:t xml:space="preserve">. С начала 2025 года проведено 70 таких мероприятий. В целях доведения информации, об изменениях в налоговом законодательстве, до широкого круга налогоплательщиков Управлением проводятся круглые столы в офисе Псковского </w:t>
      </w:r>
      <w:proofErr w:type="spellStart"/>
      <w:r w:rsidRPr="006A2CD5">
        <w:rPr>
          <w:rFonts w:eastAsia="Calibri"/>
          <w:color w:val="000000"/>
          <w:sz w:val="28"/>
          <w:szCs w:val="28"/>
          <w:lang w:eastAsia="en-US"/>
        </w:rPr>
        <w:t>агенства</w:t>
      </w:r>
      <w:proofErr w:type="spellEnd"/>
      <w:r w:rsidRPr="006A2CD5">
        <w:rPr>
          <w:rFonts w:eastAsia="Calibri"/>
          <w:color w:val="000000"/>
          <w:sz w:val="28"/>
          <w:szCs w:val="28"/>
          <w:lang w:eastAsia="en-US"/>
        </w:rPr>
        <w:t xml:space="preserve"> информации. В мероприятиях участвуют представители бизнеса и общественных организаций. На всей территории Российской Федерации действует Единый Контакт-центр ФНС России, которому в соответствии с Приказом ФНС России от 30.04.2015 №СА-7-217/180@, делегированы полномочия по бесплатному телефонному информированию налогоплательщиков. Для получения интересующей информации заявитель может позвонить по единому номеру 8 (800) 222-2222. Кроме того, налогоплательщики могут узнать интересующую их информацию по телефонам справочной службы, расположенным в региональном разделе сайта ФНС России в контактной информации обособленных подразделений. Один из самых популярных и востребованных </w:t>
      </w:r>
      <w:proofErr w:type="gramStart"/>
      <w:r w:rsidRPr="006A2CD5">
        <w:rPr>
          <w:rFonts w:eastAsia="Calibri"/>
          <w:color w:val="000000"/>
          <w:sz w:val="28"/>
          <w:szCs w:val="28"/>
          <w:lang w:eastAsia="en-US"/>
        </w:rPr>
        <w:t>интернет-сервисов</w:t>
      </w:r>
      <w:proofErr w:type="gramEnd"/>
      <w:r w:rsidRPr="006A2CD5">
        <w:rPr>
          <w:rFonts w:eastAsia="Calibri"/>
          <w:color w:val="000000"/>
          <w:sz w:val="28"/>
          <w:szCs w:val="28"/>
          <w:lang w:eastAsia="en-US"/>
        </w:rPr>
        <w:t xml:space="preserve"> ФНС России - «Личный кабинет налогоплательщика для физических лиц». Число пользователей сервиса постоянно растет и на 18.12.2025 составляет 254 тысяч человек. Большой популярностью пользуется возможность подачи деклараций по налогу на доходы физических лиц, как в целях исполнения обязанности о декларировании дохода, так и в целях получения налогового вычета. По состоянию на 18.12.2025 года 99% деклараций по форме 3-НДФЛ предоставлено через Личный кабинет.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t xml:space="preserve">Бизнес-сообщество также активно использует личные кабинеты – для индивидуальных предпринимателей и для юридических лиц, которые содержат всю необходимую информацию, а также позволяют получить дистанционно практически все услуги, предоставляемые налоговыми органами. У нас в области пользователями данных сервисов на 18.12.2025 являются 8606 индивидуальных предпринимателей и 9349 организаций. </w:t>
      </w:r>
    </w:p>
    <w:p w:rsidR="006A2CD5" w:rsidRPr="006A2CD5" w:rsidRDefault="006A2CD5" w:rsidP="006A2CD5">
      <w:pPr>
        <w:widowControl/>
        <w:ind w:firstLine="709"/>
        <w:jc w:val="both"/>
        <w:rPr>
          <w:rFonts w:eastAsia="Calibri"/>
          <w:color w:val="000000"/>
          <w:sz w:val="28"/>
          <w:szCs w:val="28"/>
          <w:lang w:eastAsia="en-US"/>
        </w:rPr>
      </w:pPr>
      <w:r w:rsidRPr="006A2CD5">
        <w:rPr>
          <w:rFonts w:eastAsia="Calibri"/>
          <w:color w:val="000000"/>
          <w:sz w:val="28"/>
          <w:szCs w:val="28"/>
          <w:lang w:eastAsia="en-US"/>
        </w:rPr>
        <w:lastRenderedPageBreak/>
        <w:t xml:space="preserve">Востребованным для налогоплательщиков является мобильное приложение «Мой налог» - программное обеспечение ФНС России, применяемое физическими лицами – плательщиками налога на профессиональный доход. Приложение устанавливается на компьютерном устройстве налогоплательщика (смартфоне, компьютере, планшете), подключенного к сети «Интернет», и предназначено для информационного обмена с операторами электронных площадок, кредитными организациями и налоговыми органами в целях применения специального налогового режима «налог на профессиональный доход». Мобильное приложение «Мой налог» используют 43102 человека. </w:t>
      </w:r>
    </w:p>
    <w:p w:rsidR="006A2CD5" w:rsidRPr="006A2CD5" w:rsidRDefault="006A2CD5" w:rsidP="006A2CD5">
      <w:pPr>
        <w:widowControl/>
        <w:autoSpaceDE/>
        <w:autoSpaceDN/>
        <w:adjustRightInd/>
        <w:ind w:firstLine="709"/>
        <w:jc w:val="both"/>
        <w:rPr>
          <w:rFonts w:eastAsia="Calibri"/>
          <w:sz w:val="28"/>
          <w:szCs w:val="28"/>
          <w:lang w:eastAsia="en-US"/>
        </w:rPr>
      </w:pPr>
      <w:r w:rsidRPr="006A2CD5">
        <w:rPr>
          <w:rFonts w:eastAsia="Calibri"/>
          <w:sz w:val="28"/>
          <w:szCs w:val="28"/>
          <w:lang w:eastAsia="en-US"/>
        </w:rPr>
        <w:t>Управлением на постоянной основе проводится мониторинг показателей качества предоставления услуг ФНС России. По итогам 2025 года доля удовлетворенности граждан составила: сайт «Ваш контроль»100%, интерактивных сервисов «QR анкетирование», Анкетирование: 100% и 97,1% соответственно.</w:t>
      </w:r>
    </w:p>
    <w:p w:rsidR="006A2CD5" w:rsidRPr="006A2CD5" w:rsidRDefault="006A2CD5" w:rsidP="006A2CD5">
      <w:pPr>
        <w:widowControl/>
        <w:ind w:firstLine="709"/>
        <w:jc w:val="both"/>
        <w:rPr>
          <w:rFonts w:eastAsia="Times New Roman"/>
          <w:color w:val="000000"/>
          <w:sz w:val="28"/>
          <w:szCs w:val="28"/>
        </w:rPr>
      </w:pPr>
      <w:proofErr w:type="gramStart"/>
      <w:r w:rsidRPr="006A2CD5">
        <w:rPr>
          <w:rFonts w:eastAsia="Times New Roman"/>
          <w:color w:val="000000"/>
          <w:sz w:val="28"/>
          <w:szCs w:val="28"/>
        </w:rPr>
        <w:t xml:space="preserve">В части мониторинга обратной связи, за период с 01 июля 2025 года по </w:t>
      </w:r>
      <w:r w:rsidRPr="006A2CD5">
        <w:rPr>
          <w:rFonts w:eastAsia="Calibri"/>
          <w:color w:val="000000"/>
          <w:sz w:val="28"/>
          <w:szCs w:val="28"/>
          <w:lang w:eastAsia="en-US"/>
        </w:rPr>
        <w:t>16 декабря 2025 года в Управление поступило 10022 обращения граждан и организаций, из них: 5220 обращений из сервиса «ЛК 2», 2258 обращений из сервиса «ЛК 3», 988 обращений из сервиса «ЛК ИП», 779 обращений на бумажном носителе, 612 обращений с сайта ФНС России, 118 обращений из сервиса</w:t>
      </w:r>
      <w:proofErr w:type="gramEnd"/>
      <w:r w:rsidRPr="006A2CD5">
        <w:rPr>
          <w:rFonts w:eastAsia="Calibri"/>
          <w:color w:val="000000"/>
          <w:sz w:val="28"/>
          <w:szCs w:val="28"/>
          <w:lang w:eastAsia="en-US"/>
        </w:rPr>
        <w:t xml:space="preserve"> «ГП-3», 35 обращений из сервиса «Платформа обратной связи»</w:t>
      </w:r>
      <w:r w:rsidRPr="006A2CD5">
        <w:rPr>
          <w:rFonts w:eastAsia="Times New Roman"/>
          <w:color w:val="000000"/>
          <w:sz w:val="28"/>
          <w:szCs w:val="28"/>
        </w:rPr>
        <w:t>.</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Существенный удельный вес занимали вопросы:</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w:t>
      </w:r>
      <w:proofErr w:type="gramStart"/>
      <w:r w:rsidRPr="006A2CD5">
        <w:rPr>
          <w:rFonts w:eastAsia="Times New Roman"/>
          <w:sz w:val="28"/>
          <w:szCs w:val="28"/>
        </w:rPr>
        <w:t>связанные</w:t>
      </w:r>
      <w:proofErr w:type="gramEnd"/>
      <w:r w:rsidRPr="006A2CD5">
        <w:rPr>
          <w:rFonts w:eastAsia="Times New Roman"/>
          <w:sz w:val="28"/>
          <w:szCs w:val="28"/>
        </w:rPr>
        <w:t xml:space="preserve"> </w:t>
      </w:r>
      <w:r w:rsidRPr="006A2CD5">
        <w:rPr>
          <w:rFonts w:eastAsia="Times New Roman"/>
          <w:sz w:val="28"/>
          <w:szCs w:val="28"/>
          <w:lang w:val="en-US"/>
        </w:rPr>
        <w:t>c</w:t>
      </w:r>
      <w:r w:rsidRPr="006A2CD5">
        <w:rPr>
          <w:rFonts w:eastAsia="Times New Roman"/>
          <w:sz w:val="28"/>
          <w:szCs w:val="28"/>
        </w:rPr>
        <w:t xml:space="preserve"> учетом налогоплательщиков, получением и отказом от ИНН – 2677 обращений;</w:t>
      </w:r>
    </w:p>
    <w:p w:rsidR="006A2CD5" w:rsidRPr="006A2CD5" w:rsidRDefault="006A2CD5" w:rsidP="006A2CD5">
      <w:pPr>
        <w:widowControl/>
        <w:tabs>
          <w:tab w:val="left" w:pos="993"/>
        </w:tabs>
        <w:ind w:firstLine="709"/>
        <w:jc w:val="both"/>
        <w:rPr>
          <w:rFonts w:eastAsia="Times New Roman"/>
          <w:sz w:val="28"/>
          <w:szCs w:val="28"/>
        </w:rPr>
      </w:pPr>
      <w:proofErr w:type="gramStart"/>
      <w:r w:rsidRPr="006A2CD5">
        <w:rPr>
          <w:rFonts w:eastAsia="Times New Roman"/>
          <w:sz w:val="28"/>
          <w:szCs w:val="28"/>
        </w:rPr>
        <w:t>- связанные с налогом на доходы физических лиц – 718 обращений;</w:t>
      </w:r>
      <w:proofErr w:type="gramEnd"/>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xml:space="preserve">- связанные </w:t>
      </w:r>
      <w:r w:rsidRPr="006A2CD5">
        <w:rPr>
          <w:rFonts w:eastAsia="Times New Roman"/>
          <w:sz w:val="28"/>
          <w:szCs w:val="28"/>
          <w:lang w:val="en-US"/>
        </w:rPr>
        <w:t>c</w:t>
      </w:r>
      <w:r w:rsidRPr="006A2CD5">
        <w:rPr>
          <w:rFonts w:eastAsia="Times New Roman"/>
          <w:sz w:val="28"/>
          <w:szCs w:val="28"/>
        </w:rPr>
        <w:t xml:space="preserve"> контролем исполнения налогового законодательства физическими и юридическими лицами – 336 обращений;</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w:t>
      </w:r>
      <w:proofErr w:type="gramStart"/>
      <w:r w:rsidRPr="006A2CD5">
        <w:rPr>
          <w:rFonts w:eastAsia="Times New Roman"/>
          <w:sz w:val="28"/>
          <w:szCs w:val="28"/>
        </w:rPr>
        <w:t>связанные</w:t>
      </w:r>
      <w:proofErr w:type="gramEnd"/>
      <w:r w:rsidRPr="006A2CD5">
        <w:rPr>
          <w:rFonts w:eastAsia="Times New Roman"/>
          <w:sz w:val="28"/>
          <w:szCs w:val="28"/>
        </w:rPr>
        <w:t xml:space="preserve"> с налогом на имущество – 305 обращений;</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w:t>
      </w:r>
      <w:proofErr w:type="gramStart"/>
      <w:r w:rsidRPr="006A2CD5">
        <w:rPr>
          <w:rFonts w:eastAsia="Times New Roman"/>
          <w:sz w:val="28"/>
          <w:szCs w:val="28"/>
        </w:rPr>
        <w:t>связанные</w:t>
      </w:r>
      <w:proofErr w:type="gramEnd"/>
      <w:r w:rsidRPr="006A2CD5">
        <w:rPr>
          <w:rFonts w:eastAsia="Times New Roman"/>
          <w:sz w:val="28"/>
          <w:szCs w:val="28"/>
        </w:rPr>
        <w:t xml:space="preserve"> с регистрацией юридических лиц, физических лиц в качестве индивидуальных предпринимателей и крестьянских (фермерских) хозяйств – 295 обращений;</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w:t>
      </w:r>
      <w:proofErr w:type="gramStart"/>
      <w:r w:rsidRPr="006A2CD5">
        <w:rPr>
          <w:rFonts w:eastAsia="Times New Roman"/>
          <w:sz w:val="28"/>
          <w:szCs w:val="28"/>
        </w:rPr>
        <w:t>связанные</w:t>
      </w:r>
      <w:proofErr w:type="gramEnd"/>
      <w:r w:rsidRPr="006A2CD5">
        <w:rPr>
          <w:rFonts w:eastAsia="Times New Roman"/>
          <w:sz w:val="28"/>
          <w:szCs w:val="28"/>
        </w:rPr>
        <w:t xml:space="preserve"> с оказанием услуг в электронной форме, пользованием информационными ресурсами – 281 обращение;</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w:t>
      </w:r>
      <w:proofErr w:type="gramStart"/>
      <w:r w:rsidRPr="006A2CD5">
        <w:rPr>
          <w:rFonts w:eastAsia="Times New Roman"/>
          <w:sz w:val="28"/>
          <w:szCs w:val="28"/>
        </w:rPr>
        <w:t>связанные</w:t>
      </w:r>
      <w:proofErr w:type="gramEnd"/>
      <w:r w:rsidRPr="006A2CD5">
        <w:rPr>
          <w:rFonts w:eastAsia="Times New Roman"/>
          <w:sz w:val="28"/>
          <w:szCs w:val="28"/>
        </w:rPr>
        <w:t xml:space="preserve"> </w:t>
      </w:r>
      <w:r w:rsidRPr="006A2CD5">
        <w:rPr>
          <w:rFonts w:eastAsia="Times New Roman"/>
          <w:sz w:val="28"/>
          <w:szCs w:val="28"/>
          <w:lang w:val="en-US"/>
        </w:rPr>
        <w:t>c</w:t>
      </w:r>
      <w:r w:rsidRPr="006A2CD5">
        <w:rPr>
          <w:rFonts w:eastAsia="Times New Roman"/>
          <w:sz w:val="28"/>
          <w:szCs w:val="28"/>
        </w:rPr>
        <w:t xml:space="preserve"> транспортным налогом – 279 обращений;</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xml:space="preserve">- связанные </w:t>
      </w:r>
      <w:r w:rsidRPr="006A2CD5">
        <w:rPr>
          <w:rFonts w:eastAsia="Times New Roman"/>
          <w:sz w:val="28"/>
          <w:szCs w:val="28"/>
          <w:lang w:val="en-US"/>
        </w:rPr>
        <w:t>c</w:t>
      </w:r>
      <w:r w:rsidRPr="006A2CD5">
        <w:rPr>
          <w:rFonts w:eastAsia="Times New Roman"/>
          <w:sz w:val="28"/>
          <w:szCs w:val="28"/>
        </w:rPr>
        <w:t xml:space="preserve"> земельным налогом – 263 обращения;</w:t>
      </w:r>
    </w:p>
    <w:p w:rsidR="006A2CD5" w:rsidRPr="006A2CD5" w:rsidRDefault="006A2CD5" w:rsidP="006A2CD5">
      <w:pPr>
        <w:widowControl/>
        <w:tabs>
          <w:tab w:val="left" w:pos="993"/>
        </w:tabs>
        <w:ind w:firstLine="709"/>
        <w:jc w:val="both"/>
        <w:rPr>
          <w:rFonts w:eastAsia="Times New Roman"/>
          <w:sz w:val="28"/>
          <w:szCs w:val="28"/>
        </w:rPr>
      </w:pPr>
      <w:proofErr w:type="gramStart"/>
      <w:r w:rsidRPr="006A2CD5">
        <w:rPr>
          <w:rFonts w:eastAsia="Times New Roman"/>
          <w:sz w:val="28"/>
          <w:szCs w:val="28"/>
        </w:rPr>
        <w:t xml:space="preserve">- связанные с задолженностью по налогам, сборам и взносам в бюджеты государственных внебюджетных фондов – 247 обращений; </w:t>
      </w:r>
      <w:proofErr w:type="gramEnd"/>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xml:space="preserve">- связанные </w:t>
      </w:r>
      <w:r w:rsidRPr="006A2CD5">
        <w:rPr>
          <w:rFonts w:eastAsia="Times New Roman"/>
          <w:sz w:val="28"/>
          <w:szCs w:val="28"/>
          <w:lang w:val="en-US"/>
        </w:rPr>
        <w:t>c</w:t>
      </w:r>
      <w:r w:rsidRPr="006A2CD5">
        <w:rPr>
          <w:rFonts w:eastAsia="Times New Roman"/>
          <w:sz w:val="28"/>
          <w:szCs w:val="28"/>
        </w:rPr>
        <w:t xml:space="preserve"> организацией работы с налогоплательщиками – 143 обращения;</w:t>
      </w:r>
    </w:p>
    <w:p w:rsidR="006A2CD5" w:rsidRPr="006A2CD5" w:rsidRDefault="006A2CD5" w:rsidP="006A2CD5">
      <w:pPr>
        <w:widowControl/>
        <w:tabs>
          <w:tab w:val="left" w:pos="993"/>
        </w:tabs>
        <w:ind w:firstLine="709"/>
        <w:jc w:val="both"/>
        <w:rPr>
          <w:rFonts w:eastAsia="Times New Roman"/>
          <w:sz w:val="28"/>
          <w:szCs w:val="28"/>
        </w:rPr>
      </w:pPr>
      <w:r w:rsidRPr="006A2CD5">
        <w:rPr>
          <w:rFonts w:eastAsia="Times New Roman"/>
          <w:sz w:val="28"/>
          <w:szCs w:val="28"/>
        </w:rPr>
        <w:t>- </w:t>
      </w:r>
      <w:proofErr w:type="gramStart"/>
      <w:r w:rsidRPr="006A2CD5">
        <w:rPr>
          <w:rFonts w:eastAsia="Times New Roman"/>
          <w:sz w:val="28"/>
          <w:szCs w:val="28"/>
        </w:rPr>
        <w:t>связанные</w:t>
      </w:r>
      <w:proofErr w:type="gramEnd"/>
      <w:r w:rsidRPr="006A2CD5">
        <w:rPr>
          <w:rFonts w:eastAsia="Times New Roman"/>
          <w:sz w:val="28"/>
          <w:szCs w:val="28"/>
        </w:rPr>
        <w:t xml:space="preserve"> с налогообложением малого бизнеса, специальных налоговых режимов – 135 обращений. </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 xml:space="preserve">В ходе проведенных профилактических и контрольных (надзорных) мероприятий за соблюдением требований законодательства Российской Федерации о применении контрольно-кассовой техники за второе полугодие 2025 года 69 налогоплательщикам объявлены предостережения о недопустимости нарушения обязательных требований законодательства о применении контрольно-кассовой техники (далее – ККТ). Проведено 319 выездных обследований, по результатам которых проведены контрольные закупки, в соответствии с ч. 7 ст. 75 Федерального закона от 31.07.2020 № 248-ФЗ «О государственном контроле (надзоре) и </w:t>
      </w:r>
      <w:r w:rsidRPr="006A2CD5">
        <w:rPr>
          <w:rFonts w:eastAsia="Times New Roman"/>
          <w:sz w:val="28"/>
          <w:szCs w:val="28"/>
        </w:rPr>
        <w:lastRenderedPageBreak/>
        <w:t>муниципальном контроле в Российской Федерации» (далее – Федеральный закон №248-ФЗ). По всем контрольным закупкам выявлены нарушения обязательных требований применения ККТ. В связи с выявлением нарушения обязательных требований при проведении контрольных закупок в соответствии с п.12 ст.67 Федерального закона №248-ФЗ проведено 102 документарные проверки, по итогам которых выявлены нарушения законодательства о применении ККТ.</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Профилактика коррупционных и иных правонарушений осуществляется отделом профилактики коррупционных и иных правонарушений и безопасности Управления.</w:t>
      </w:r>
    </w:p>
    <w:p w:rsidR="006A2CD5" w:rsidRPr="006A2CD5" w:rsidRDefault="006A2CD5" w:rsidP="006A2CD5">
      <w:pPr>
        <w:widowControl/>
        <w:ind w:firstLine="709"/>
        <w:jc w:val="both"/>
        <w:rPr>
          <w:rFonts w:eastAsia="Times New Roman"/>
          <w:sz w:val="28"/>
          <w:szCs w:val="28"/>
        </w:rPr>
      </w:pPr>
      <w:proofErr w:type="gramStart"/>
      <w:r w:rsidRPr="006A2CD5">
        <w:rPr>
          <w:rFonts w:eastAsia="Times New Roman"/>
          <w:sz w:val="28"/>
          <w:szCs w:val="28"/>
        </w:rPr>
        <w:t>Уведомление государственными служащими о фактах обращения в целях склонения их к совершению коррупционных правонарушений организовано в соответствии с Порядком уведомления государственными гражданскими служащими представителя нанимателя о фактах обращения в целях склонения их к совершению коррупционных правонарушений, регистрации таких уведомлений и проверки, содержащихся в них сведений, утвержденным приказом ФНС России от 15.03.2011 № ММВ-7-4/202@ (далее - Порядок).</w:t>
      </w:r>
      <w:proofErr w:type="gramEnd"/>
      <w:r w:rsidRPr="006A2CD5">
        <w:rPr>
          <w:rFonts w:eastAsia="Times New Roman"/>
          <w:sz w:val="28"/>
          <w:szCs w:val="28"/>
        </w:rPr>
        <w:t xml:space="preserve"> С Порядком ознакомлены все государственные гражданские служащие Управления.</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Во втором полугодии 2025 года уведомлений государственных служащих о фактах обращения в целях склонения их к совершению коррупционных правонарушений не поступало.</w:t>
      </w:r>
    </w:p>
    <w:p w:rsidR="006A2CD5" w:rsidRPr="006A2CD5" w:rsidRDefault="006A2CD5" w:rsidP="006A2CD5">
      <w:pPr>
        <w:widowControl/>
        <w:ind w:firstLine="709"/>
        <w:jc w:val="both"/>
        <w:rPr>
          <w:rFonts w:eastAsia="Times New Roman"/>
          <w:sz w:val="28"/>
          <w:szCs w:val="28"/>
        </w:rPr>
      </w:pPr>
      <w:proofErr w:type="gramStart"/>
      <w:r w:rsidRPr="006A2CD5">
        <w:rPr>
          <w:rFonts w:eastAsia="Times New Roman"/>
          <w:sz w:val="28"/>
          <w:szCs w:val="28"/>
        </w:rPr>
        <w:t>В Управлении проводится мониторинг имущественного положения государственных гражданских служащих, уполномоченными должностными лицами по профилактике коррупционных и иных правонарушений осуществляется анализ достоверности и полноты сведений, представленных в Справках государственных гражданских служащих в соответствии с пунктом 3 «л» Указа Президента Российской Федерации от 21.09.2009 № 1065 (далее - Указ 1065) «О проверке достоверности полноты сведений, представляемых гражданами, претендующими на замещение должностей федеральной государственной службы</w:t>
      </w:r>
      <w:proofErr w:type="gramEnd"/>
      <w:r w:rsidRPr="006A2CD5">
        <w:rPr>
          <w:rFonts w:eastAsia="Times New Roman"/>
          <w:sz w:val="28"/>
          <w:szCs w:val="28"/>
        </w:rPr>
        <w:t>, и федеральными государственными служащими, и соблюдения федеральными государственными служащими требований к служебному поведению».</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 xml:space="preserve">На основании докладов отдела профилактики коррупционных и иных правонарушений и безопасности о совершении коррупционных правонарушений, за представление неполных сведений в справках о доходах, расходах, об имуществе и обязательствах имущественного характера, к двум государственным гражданским служащим применены меры дисциплинарной ответственности (упрощенный порядок). </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Антикоррупционное обучение служащих организовано при проведении технической учебы и семинаров, а также индивидуально - в ходе прохождения адаптации и испытательного срока.</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Во втором полугодии 2025 года уведомлений государственных гражданских служащих о получении подарков не зарегистрировано.</w:t>
      </w:r>
    </w:p>
    <w:p w:rsidR="006A2CD5" w:rsidRPr="006A2CD5" w:rsidRDefault="006A2CD5" w:rsidP="006A2CD5">
      <w:pPr>
        <w:widowControl/>
        <w:ind w:firstLine="709"/>
        <w:jc w:val="both"/>
        <w:rPr>
          <w:rFonts w:eastAsia="Times New Roman"/>
          <w:sz w:val="28"/>
          <w:szCs w:val="28"/>
        </w:rPr>
      </w:pPr>
      <w:proofErr w:type="gramStart"/>
      <w:r w:rsidRPr="006A2CD5">
        <w:rPr>
          <w:rFonts w:eastAsia="Times New Roman"/>
          <w:sz w:val="28"/>
          <w:szCs w:val="28"/>
        </w:rPr>
        <w:t xml:space="preserve">Ежедневно проводится мониторинг региональных и местных средств массовой информации для выявления публикаций, содержащих информацию о правонарушениях со стороны сотрудников налоговых органов или с их участием, о нарушении Кодекса этики и служебного поведения государственных гражданских служащих Федеральной налоговой службы, о чрезвычайных происшествиях в </w:t>
      </w:r>
      <w:r w:rsidRPr="006A2CD5">
        <w:rPr>
          <w:rFonts w:eastAsia="Times New Roman"/>
          <w:sz w:val="28"/>
          <w:szCs w:val="28"/>
        </w:rPr>
        <w:lastRenderedPageBreak/>
        <w:t>налоговых органах, а также о противоправных действиях и преступных посягательствах в отношении налоговых органов, сотрудников налоговых органов, членов</w:t>
      </w:r>
      <w:proofErr w:type="gramEnd"/>
      <w:r w:rsidRPr="006A2CD5">
        <w:rPr>
          <w:rFonts w:eastAsia="Times New Roman"/>
          <w:sz w:val="28"/>
          <w:szCs w:val="28"/>
        </w:rPr>
        <w:t xml:space="preserve"> их семей, либо имущества. </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Перед входом в здания Управления и территориально обособленных подразделений оборудованы специальные почтовые ящики для сбора обращений и жалоб от граждан и организаций. Обращений по фактам коррупционных проявлений со стороны государственных гражданских служащих во втором полугодии 2025 года в почтовые ящики не поступало.</w:t>
      </w:r>
    </w:p>
    <w:p w:rsidR="006A2CD5" w:rsidRPr="006A2CD5" w:rsidRDefault="006A2CD5" w:rsidP="006A2CD5">
      <w:pPr>
        <w:widowControl/>
        <w:ind w:firstLine="709"/>
        <w:jc w:val="both"/>
        <w:rPr>
          <w:rFonts w:eastAsia="Times New Roman"/>
          <w:sz w:val="28"/>
          <w:szCs w:val="28"/>
        </w:rPr>
      </w:pPr>
      <w:r w:rsidRPr="006A2CD5">
        <w:rPr>
          <w:rFonts w:eastAsia="Times New Roman"/>
          <w:sz w:val="28"/>
          <w:szCs w:val="28"/>
        </w:rPr>
        <w:t>В Управлении установлен «телефон доверия» - 8 (8112)33-13-96, по которому граждане имеют возможность обратиться по фактам коррупционных проявлений со стороны государственных гражданских служащих Управления. Ежедневно информация, поступающая на «телефон доверия» анализируется. Обращений по фактам коррупционных проявлений со стороны государственных гражданских служащих во втором полугодии 2025 года не поступало.</w:t>
      </w:r>
    </w:p>
    <w:p w:rsidR="005C470E" w:rsidRPr="00797DDC" w:rsidRDefault="006A2CD5" w:rsidP="006A2CD5">
      <w:pPr>
        <w:pStyle w:val="Style9"/>
        <w:widowControl/>
        <w:spacing w:line="307" w:lineRule="exact"/>
        <w:ind w:firstLine="706"/>
        <w:rPr>
          <w:rStyle w:val="FontStyle16"/>
        </w:rPr>
      </w:pPr>
      <w:r w:rsidRPr="006A2CD5">
        <w:rPr>
          <w:rFonts w:eastAsia="Times New Roman"/>
          <w:snapToGrid w:val="0"/>
          <w:sz w:val="28"/>
          <w:szCs w:val="28"/>
        </w:rPr>
        <w:t>На сайте ФНС России поддерживается страница региональной информации, в структуре которой выделен раздел по линии противодействия коррупции</w:t>
      </w:r>
      <w:r w:rsidR="009A5AC5" w:rsidRPr="00797DDC">
        <w:rPr>
          <w:rStyle w:val="FontStyle16"/>
        </w:rPr>
        <w:t>.</w:t>
      </w:r>
    </w:p>
    <w:sectPr w:rsidR="005C470E" w:rsidRPr="00797DDC">
      <w:headerReference w:type="default" r:id="rId7"/>
      <w:headerReference w:type="first" r:id="rId8"/>
      <w:type w:val="continuous"/>
      <w:pgSz w:w="11905" w:h="16837"/>
      <w:pgMar w:top="549" w:right="564" w:bottom="768" w:left="127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6E" w:rsidRDefault="00B07E6E">
      <w:r>
        <w:separator/>
      </w:r>
    </w:p>
  </w:endnote>
  <w:endnote w:type="continuationSeparator" w:id="0">
    <w:p w:rsidR="00B07E6E" w:rsidRDefault="00B0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6E" w:rsidRDefault="00B07E6E">
      <w:r>
        <w:separator/>
      </w:r>
    </w:p>
  </w:footnote>
  <w:footnote w:type="continuationSeparator" w:id="0">
    <w:p w:rsidR="00B07E6E" w:rsidRDefault="00B07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0E" w:rsidRDefault="00C22C56">
    <w:pPr>
      <w:pStyle w:val="Style5"/>
      <w:widowControl/>
      <w:jc w:val="center"/>
      <w:rPr>
        <w:rStyle w:val="FontStyle16"/>
      </w:rPr>
    </w:pPr>
    <w:r>
      <w:rPr>
        <w:rStyle w:val="FontStyle16"/>
      </w:rPr>
      <w:fldChar w:fldCharType="begin"/>
    </w:r>
    <w:r>
      <w:rPr>
        <w:rStyle w:val="FontStyle16"/>
      </w:rPr>
      <w:instrText>PAGE</w:instrText>
    </w:r>
    <w:r>
      <w:rPr>
        <w:rStyle w:val="FontStyle16"/>
      </w:rPr>
      <w:fldChar w:fldCharType="separate"/>
    </w:r>
    <w:r w:rsidR="00E50B06">
      <w:rPr>
        <w:rStyle w:val="FontStyle16"/>
        <w:noProof/>
      </w:rPr>
      <w:t>5</w:t>
    </w:r>
    <w:r>
      <w:rPr>
        <w:rStyle w:val="FontStyle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0E" w:rsidRDefault="005C470E">
    <w:pPr>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56"/>
    <w:rsid w:val="00205082"/>
    <w:rsid w:val="003231B8"/>
    <w:rsid w:val="003573C0"/>
    <w:rsid w:val="00367B01"/>
    <w:rsid w:val="003F17F9"/>
    <w:rsid w:val="003F29B7"/>
    <w:rsid w:val="005C470E"/>
    <w:rsid w:val="006A2CD5"/>
    <w:rsid w:val="006B07D0"/>
    <w:rsid w:val="006C77BC"/>
    <w:rsid w:val="00797DDC"/>
    <w:rsid w:val="009A5AC5"/>
    <w:rsid w:val="00B07E6E"/>
    <w:rsid w:val="00B3277C"/>
    <w:rsid w:val="00C22C56"/>
    <w:rsid w:val="00C55335"/>
    <w:rsid w:val="00CC3CE2"/>
    <w:rsid w:val="00DE3054"/>
    <w:rsid w:val="00E50B06"/>
    <w:rsid w:val="00E55990"/>
    <w:rsid w:val="00EE2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30" w:lineRule="exact"/>
      <w:jc w:val="center"/>
    </w:pPr>
  </w:style>
  <w:style w:type="paragraph" w:customStyle="1" w:styleId="Style2">
    <w:name w:val="Style2"/>
    <w:basedOn w:val="a"/>
    <w:uiPriority w:val="99"/>
    <w:pPr>
      <w:spacing w:line="310" w:lineRule="exact"/>
      <w:ind w:firstLine="715"/>
      <w:jc w:val="both"/>
    </w:pPr>
  </w:style>
  <w:style w:type="paragraph" w:customStyle="1" w:styleId="Style3">
    <w:name w:val="Style3"/>
    <w:basedOn w:val="a"/>
    <w:uiPriority w:val="99"/>
    <w:pPr>
      <w:spacing w:line="185" w:lineRule="exact"/>
      <w:jc w:val="center"/>
    </w:pPr>
  </w:style>
  <w:style w:type="paragraph" w:customStyle="1" w:styleId="Style4">
    <w:name w:val="Style4"/>
    <w:basedOn w:val="a"/>
    <w:uiPriority w:val="99"/>
  </w:style>
  <w:style w:type="paragraph" w:customStyle="1" w:styleId="Style5">
    <w:name w:val="Style5"/>
    <w:basedOn w:val="a"/>
    <w:uiPriority w:val="99"/>
    <w:pPr>
      <w:spacing w:line="307" w:lineRule="exact"/>
      <w:jc w:val="both"/>
    </w:pPr>
  </w:style>
  <w:style w:type="paragraph" w:customStyle="1" w:styleId="Style6">
    <w:name w:val="Style6"/>
    <w:basedOn w:val="a"/>
    <w:uiPriority w:val="99"/>
  </w:style>
  <w:style w:type="paragraph" w:customStyle="1" w:styleId="Style7">
    <w:name w:val="Style7"/>
    <w:basedOn w:val="a"/>
    <w:uiPriority w:val="99"/>
    <w:pPr>
      <w:spacing w:line="230" w:lineRule="exact"/>
      <w:jc w:val="both"/>
    </w:pPr>
  </w:style>
  <w:style w:type="paragraph" w:customStyle="1" w:styleId="Style8">
    <w:name w:val="Style8"/>
    <w:basedOn w:val="a"/>
    <w:uiPriority w:val="99"/>
    <w:pPr>
      <w:spacing w:line="166" w:lineRule="exact"/>
      <w:jc w:val="center"/>
    </w:pPr>
  </w:style>
  <w:style w:type="paragraph" w:customStyle="1" w:styleId="Style9">
    <w:name w:val="Style9"/>
    <w:basedOn w:val="a"/>
    <w:uiPriority w:val="99"/>
    <w:pPr>
      <w:spacing w:line="310" w:lineRule="exact"/>
      <w:ind w:firstLine="710"/>
      <w:jc w:val="both"/>
    </w:pPr>
  </w:style>
  <w:style w:type="paragraph" w:customStyle="1" w:styleId="Style10">
    <w:name w:val="Style10"/>
    <w:basedOn w:val="a"/>
    <w:uiPriority w:val="99"/>
  </w:style>
  <w:style w:type="paragraph" w:customStyle="1" w:styleId="Style11">
    <w:name w:val="Style11"/>
    <w:basedOn w:val="a"/>
    <w:uiPriority w:val="99"/>
    <w:pPr>
      <w:spacing w:line="226" w:lineRule="exact"/>
      <w:jc w:val="both"/>
    </w:pPr>
  </w:style>
  <w:style w:type="character" w:customStyle="1" w:styleId="FontStyle13">
    <w:name w:val="Font Style13"/>
    <w:basedOn w:val="a0"/>
    <w:uiPriority w:val="99"/>
    <w:rPr>
      <w:rFonts w:ascii="Times New Roman" w:hAnsi="Times New Roman" w:cs="Times New Roman"/>
      <w:b/>
      <w:bCs/>
      <w:sz w:val="16"/>
      <w:szCs w:val="16"/>
    </w:rPr>
  </w:style>
  <w:style w:type="character" w:customStyle="1" w:styleId="FontStyle14">
    <w:name w:val="Font Style14"/>
    <w:basedOn w:val="a0"/>
    <w:uiPriority w:val="99"/>
    <w:rPr>
      <w:rFonts w:ascii="Times New Roman" w:hAnsi="Times New Roman" w:cs="Times New Roman"/>
      <w:sz w:val="16"/>
      <w:szCs w:val="16"/>
    </w:rPr>
  </w:style>
  <w:style w:type="character" w:customStyle="1" w:styleId="FontStyle15">
    <w:name w:val="Font Style15"/>
    <w:basedOn w:val="a0"/>
    <w:uiPriority w:val="99"/>
    <w:rPr>
      <w:rFonts w:ascii="Times New Roman" w:hAnsi="Times New Roman" w:cs="Times New Roman"/>
      <w:sz w:val="22"/>
      <w:szCs w:val="22"/>
    </w:rPr>
  </w:style>
  <w:style w:type="character" w:customStyle="1" w:styleId="FontStyle16">
    <w:name w:val="Font Style16"/>
    <w:basedOn w:val="a0"/>
    <w:uiPriority w:val="99"/>
    <w:rPr>
      <w:rFonts w:ascii="Times New Roman" w:hAnsi="Times New Roman" w:cs="Times New Roman"/>
      <w:sz w:val="26"/>
      <w:szCs w:val="26"/>
    </w:rPr>
  </w:style>
  <w:style w:type="character" w:customStyle="1" w:styleId="FontStyle17">
    <w:name w:val="Font Style17"/>
    <w:basedOn w:val="a0"/>
    <w:uiPriority w:val="99"/>
    <w:rPr>
      <w:rFonts w:ascii="Times New Roman" w:hAnsi="Times New Roman" w:cs="Times New Roman"/>
      <w:sz w:val="18"/>
      <w:szCs w:val="18"/>
    </w:rPr>
  </w:style>
  <w:style w:type="character" w:customStyle="1" w:styleId="FontStyle18">
    <w:name w:val="Font Style18"/>
    <w:basedOn w:val="a0"/>
    <w:uiPriority w:val="99"/>
    <w:rPr>
      <w:rFonts w:ascii="Times New Roman" w:hAnsi="Times New Roman" w:cs="Times New Roman"/>
      <w:sz w:val="18"/>
      <w:szCs w:val="18"/>
    </w:rPr>
  </w:style>
  <w:style w:type="paragraph" w:customStyle="1" w:styleId="ConsPlusNormal">
    <w:name w:val="ConsPlusNormal"/>
    <w:rsid w:val="006C77B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semiHidden/>
    <w:rsid w:val="003F29B7"/>
    <w:pPr>
      <w:widowControl/>
      <w:autoSpaceDE/>
      <w:autoSpaceDN/>
      <w:adjustRightInd/>
    </w:pPr>
    <w:rPr>
      <w:rFonts w:ascii="Tahoma" w:eastAsia="Times New Roman" w:hAnsi="Tahoma" w:cs="Tahoma"/>
      <w:snapToGrid w:val="0"/>
      <w:sz w:val="16"/>
      <w:szCs w:val="16"/>
    </w:rPr>
  </w:style>
  <w:style w:type="character" w:customStyle="1" w:styleId="a4">
    <w:name w:val="Текст выноски Знак"/>
    <w:basedOn w:val="a0"/>
    <w:link w:val="a3"/>
    <w:semiHidden/>
    <w:rsid w:val="003F29B7"/>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30" w:lineRule="exact"/>
      <w:jc w:val="center"/>
    </w:pPr>
  </w:style>
  <w:style w:type="paragraph" w:customStyle="1" w:styleId="Style2">
    <w:name w:val="Style2"/>
    <w:basedOn w:val="a"/>
    <w:uiPriority w:val="99"/>
    <w:pPr>
      <w:spacing w:line="310" w:lineRule="exact"/>
      <w:ind w:firstLine="715"/>
      <w:jc w:val="both"/>
    </w:pPr>
  </w:style>
  <w:style w:type="paragraph" w:customStyle="1" w:styleId="Style3">
    <w:name w:val="Style3"/>
    <w:basedOn w:val="a"/>
    <w:uiPriority w:val="99"/>
    <w:pPr>
      <w:spacing w:line="185" w:lineRule="exact"/>
      <w:jc w:val="center"/>
    </w:pPr>
  </w:style>
  <w:style w:type="paragraph" w:customStyle="1" w:styleId="Style4">
    <w:name w:val="Style4"/>
    <w:basedOn w:val="a"/>
    <w:uiPriority w:val="99"/>
  </w:style>
  <w:style w:type="paragraph" w:customStyle="1" w:styleId="Style5">
    <w:name w:val="Style5"/>
    <w:basedOn w:val="a"/>
    <w:uiPriority w:val="99"/>
    <w:pPr>
      <w:spacing w:line="307" w:lineRule="exact"/>
      <w:jc w:val="both"/>
    </w:pPr>
  </w:style>
  <w:style w:type="paragraph" w:customStyle="1" w:styleId="Style6">
    <w:name w:val="Style6"/>
    <w:basedOn w:val="a"/>
    <w:uiPriority w:val="99"/>
  </w:style>
  <w:style w:type="paragraph" w:customStyle="1" w:styleId="Style7">
    <w:name w:val="Style7"/>
    <w:basedOn w:val="a"/>
    <w:uiPriority w:val="99"/>
    <w:pPr>
      <w:spacing w:line="230" w:lineRule="exact"/>
      <w:jc w:val="both"/>
    </w:pPr>
  </w:style>
  <w:style w:type="paragraph" w:customStyle="1" w:styleId="Style8">
    <w:name w:val="Style8"/>
    <w:basedOn w:val="a"/>
    <w:uiPriority w:val="99"/>
    <w:pPr>
      <w:spacing w:line="166" w:lineRule="exact"/>
      <w:jc w:val="center"/>
    </w:pPr>
  </w:style>
  <w:style w:type="paragraph" w:customStyle="1" w:styleId="Style9">
    <w:name w:val="Style9"/>
    <w:basedOn w:val="a"/>
    <w:uiPriority w:val="99"/>
    <w:pPr>
      <w:spacing w:line="310" w:lineRule="exact"/>
      <w:ind w:firstLine="710"/>
      <w:jc w:val="both"/>
    </w:pPr>
  </w:style>
  <w:style w:type="paragraph" w:customStyle="1" w:styleId="Style10">
    <w:name w:val="Style10"/>
    <w:basedOn w:val="a"/>
    <w:uiPriority w:val="99"/>
  </w:style>
  <w:style w:type="paragraph" w:customStyle="1" w:styleId="Style11">
    <w:name w:val="Style11"/>
    <w:basedOn w:val="a"/>
    <w:uiPriority w:val="99"/>
    <w:pPr>
      <w:spacing w:line="226" w:lineRule="exact"/>
      <w:jc w:val="both"/>
    </w:pPr>
  </w:style>
  <w:style w:type="character" w:customStyle="1" w:styleId="FontStyle13">
    <w:name w:val="Font Style13"/>
    <w:basedOn w:val="a0"/>
    <w:uiPriority w:val="99"/>
    <w:rPr>
      <w:rFonts w:ascii="Times New Roman" w:hAnsi="Times New Roman" w:cs="Times New Roman"/>
      <w:b/>
      <w:bCs/>
      <w:sz w:val="16"/>
      <w:szCs w:val="16"/>
    </w:rPr>
  </w:style>
  <w:style w:type="character" w:customStyle="1" w:styleId="FontStyle14">
    <w:name w:val="Font Style14"/>
    <w:basedOn w:val="a0"/>
    <w:uiPriority w:val="99"/>
    <w:rPr>
      <w:rFonts w:ascii="Times New Roman" w:hAnsi="Times New Roman" w:cs="Times New Roman"/>
      <w:sz w:val="16"/>
      <w:szCs w:val="16"/>
    </w:rPr>
  </w:style>
  <w:style w:type="character" w:customStyle="1" w:styleId="FontStyle15">
    <w:name w:val="Font Style15"/>
    <w:basedOn w:val="a0"/>
    <w:uiPriority w:val="99"/>
    <w:rPr>
      <w:rFonts w:ascii="Times New Roman" w:hAnsi="Times New Roman" w:cs="Times New Roman"/>
      <w:sz w:val="22"/>
      <w:szCs w:val="22"/>
    </w:rPr>
  </w:style>
  <w:style w:type="character" w:customStyle="1" w:styleId="FontStyle16">
    <w:name w:val="Font Style16"/>
    <w:basedOn w:val="a0"/>
    <w:uiPriority w:val="99"/>
    <w:rPr>
      <w:rFonts w:ascii="Times New Roman" w:hAnsi="Times New Roman" w:cs="Times New Roman"/>
      <w:sz w:val="26"/>
      <w:szCs w:val="26"/>
    </w:rPr>
  </w:style>
  <w:style w:type="character" w:customStyle="1" w:styleId="FontStyle17">
    <w:name w:val="Font Style17"/>
    <w:basedOn w:val="a0"/>
    <w:uiPriority w:val="99"/>
    <w:rPr>
      <w:rFonts w:ascii="Times New Roman" w:hAnsi="Times New Roman" w:cs="Times New Roman"/>
      <w:sz w:val="18"/>
      <w:szCs w:val="18"/>
    </w:rPr>
  </w:style>
  <w:style w:type="character" w:customStyle="1" w:styleId="FontStyle18">
    <w:name w:val="Font Style18"/>
    <w:basedOn w:val="a0"/>
    <w:uiPriority w:val="99"/>
    <w:rPr>
      <w:rFonts w:ascii="Times New Roman" w:hAnsi="Times New Roman" w:cs="Times New Roman"/>
      <w:sz w:val="18"/>
      <w:szCs w:val="18"/>
    </w:rPr>
  </w:style>
  <w:style w:type="paragraph" w:customStyle="1" w:styleId="ConsPlusNormal">
    <w:name w:val="ConsPlusNormal"/>
    <w:rsid w:val="006C77B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semiHidden/>
    <w:rsid w:val="003F29B7"/>
    <w:pPr>
      <w:widowControl/>
      <w:autoSpaceDE/>
      <w:autoSpaceDN/>
      <w:adjustRightInd/>
    </w:pPr>
    <w:rPr>
      <w:rFonts w:ascii="Tahoma" w:eastAsia="Times New Roman" w:hAnsi="Tahoma" w:cs="Tahoma"/>
      <w:snapToGrid w:val="0"/>
      <w:sz w:val="16"/>
      <w:szCs w:val="16"/>
    </w:rPr>
  </w:style>
  <w:style w:type="character" w:customStyle="1" w:styleId="a4">
    <w:name w:val="Текст выноски Знак"/>
    <w:basedOn w:val="a0"/>
    <w:link w:val="a3"/>
    <w:semiHidden/>
    <w:rsid w:val="003F29B7"/>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11446</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07.4.01.03. БланкФедеральной налоговой службы</dc:subject>
  <dc:creator>Пользователь</dc:creator>
  <cp:lastModifiedBy>Administrator</cp:lastModifiedBy>
  <cp:revision>2</cp:revision>
  <dcterms:created xsi:type="dcterms:W3CDTF">2026-04-06T13:11:00Z</dcterms:created>
  <dcterms:modified xsi:type="dcterms:W3CDTF">2026-04-06T13:11:00Z</dcterms:modified>
</cp:coreProperties>
</file>