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итогах реализации Ведомственного плана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Управления Федеральной налоговой службы по Тамбовской области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реализации Концепции открытости федеральных органов 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исполнительной власти в 202</w:t>
      </w:r>
      <w:r w:rsidR="00FA471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году</w:t>
      </w:r>
    </w:p>
    <w:p w:rsidR="00720399" w:rsidRDefault="007203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20399" w:rsidRDefault="00ED13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 Ключевые результаты реализации ведомственного плана.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proofErr w:type="gram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У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ФНС России 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по Тамбовской области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от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01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.0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4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.202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№ 01.1-05/0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39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@ утвержден Ведомственный план У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правления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 (далее – Ведомственный план).</w:t>
      </w:r>
      <w:proofErr w:type="gramEnd"/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Реализация мероприятий Ведомственного плана позволила повысить уровень прозрачности и сделала показатели деятельности УФНС России по Тамбовской области понятными для представителей </w:t>
      </w:r>
      <w:proofErr w:type="spell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референтных</w:t>
      </w:r>
      <w:proofErr w:type="spell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групп.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proofErr w:type="gram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Повышение информационной открытости деятельности УФНС России по Тамбовской области и территориальных налоговых органов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(до перехода 31.10.2022 на двухуровневую систему управления)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исполнению налоговых обязательств и к своевременной уплате   налогов и сборов в бюджетную систему Российской Федерации. </w:t>
      </w:r>
      <w:proofErr w:type="gramEnd"/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На региональном сегменте официального сайта ФНС России за 202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 с помощью электронного сервиса ФНС России «Анкетирование» 3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4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16 пользователей (99,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6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процента от общего числа респондентов, участвующих в анкетировании) оставили положительные отзывы о качестве государственных услуг, предоставленных сотрудниками налоговых органов Тамбовской области.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Тамбовской области в 202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году доля граждан, удовлетворенных качеством предоставленных им государственных услуг ФНС России на сайте «Ваш контроль», составила 99,9 процента.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В региональном блоке сайта ФНС России размещена и поддерживается в актуальном состоянии информация о деятельности налоговых органов Тамбовской области.  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В отчетном периоде на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сайте ФНС России </w:t>
      </w:r>
      <w:r w:rsidR="00CC2B36">
        <w:rPr>
          <w:rFonts w:ascii="Times New Roman" w:hAnsi="Times New Roman"/>
          <w:snapToGrid w:val="0"/>
          <w:color w:val="auto"/>
          <w:sz w:val="28"/>
          <w:szCs w:val="28"/>
        </w:rPr>
        <w:t xml:space="preserve">для налогоплательщиков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размещено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317 м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атериалов, 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2346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 информационных материалов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-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региональных средствах массовой информации</w:t>
      </w:r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 xml:space="preserve"> (включая информацию об изменениях регионального законодательства в сфере налогообложения и анонсы </w:t>
      </w:r>
      <w:proofErr w:type="gramStart"/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>о</w:t>
      </w:r>
      <w:proofErr w:type="gramEnd"/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 xml:space="preserve"> проводимых Управлением информационно-просветительских мероприя</w:t>
      </w:r>
      <w:r w:rsidR="00CC2B36">
        <w:rPr>
          <w:rFonts w:ascii="Times New Roman" w:hAnsi="Times New Roman"/>
          <w:snapToGrid w:val="0"/>
          <w:color w:val="auto"/>
          <w:sz w:val="28"/>
          <w:szCs w:val="28"/>
        </w:rPr>
        <w:t>т</w:t>
      </w:r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>ий)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proofErr w:type="gram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lastRenderedPageBreak/>
        <w:t xml:space="preserve">В целях массового информирования налогоплательщиков в 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2022 году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периоде проведены публичные информационные кампании по актуальным вопросам налогового администрирования: о декларировании  доходов физическими лицами,  о порядке представления налоговых льгот по имущественным налогам физических лиц, о сроке уплаты имущественных налогов, о порядке получения квалифицированной электронной подписи в Удостоверяющем центре ФНС России, о предоставлении государственных услуг ФНС России в МФЦ и др. </w:t>
      </w:r>
      <w:proofErr w:type="gramEnd"/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Для повышения эффективности организации работы с налогоплательщиками, плательщиками сборов, страховых взносов на обязательное пенсионное страхование и налоговыми агентами территориальными налоговыми органами области проведен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ы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93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семинара</w:t>
      </w:r>
      <w:r w:rsidR="00CC2B36" w:rsidRPr="00CC2B36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 w:rsidR="00CC2B36">
        <w:rPr>
          <w:rFonts w:ascii="Times New Roman" w:hAnsi="Times New Roman"/>
          <w:snapToGrid w:val="0"/>
          <w:color w:val="auto"/>
          <w:sz w:val="28"/>
          <w:szCs w:val="28"/>
        </w:rPr>
        <w:t xml:space="preserve">в том числе в формате </w:t>
      </w:r>
      <w:proofErr w:type="spellStart"/>
      <w:r w:rsidR="00CC2B36">
        <w:rPr>
          <w:rFonts w:ascii="Times New Roman" w:hAnsi="Times New Roman"/>
          <w:snapToGrid w:val="0"/>
          <w:color w:val="auto"/>
          <w:sz w:val="28"/>
          <w:szCs w:val="28"/>
        </w:rPr>
        <w:t>вебинаров</w:t>
      </w:r>
      <w:proofErr w:type="spell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. 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рамках реализации приоритетной программы Правительства Российской Федерации  «Реформа контрольной и надзорной деятельности» УФНС России по Тамбовской области организован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ы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и проведен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ы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четыре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публичных мероприятия по результатам правоприменительной практики, по итогам которых участники имели возможность оставить свои отзывы. </w:t>
      </w:r>
    </w:p>
    <w:p w:rsidR="0072039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На постоянной основе УФНС России по Тамбовской области проводился  анализ направленных в адрес налоговых органов области  обращений граждан и запросов пользователей информации с  последующим  размещением обобщенной информации  в региональном сегменте сайта ФНС России. Поступившие от налогоплательщиков вопросы рассмотрены в период проведения  публичных информационных мероприятий.</w:t>
      </w:r>
    </w:p>
    <w:p w:rsidR="00CC2B36" w:rsidRPr="00ED13AA" w:rsidRDefault="00CC2B36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На состоявш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их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ся в отчетном периоде заседани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>ях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Общественного совета при Управлении 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>рассмотрены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 актуальные вопросы</w:t>
      </w:r>
      <w:r w:rsidR="00824108" w:rsidRPr="00824108">
        <w:rPr>
          <w:rFonts w:ascii="Times New Roman" w:hAnsi="Times New Roman"/>
          <w:snapToGrid w:val="0"/>
          <w:color w:val="auto"/>
          <w:sz w:val="28"/>
          <w:szCs w:val="28"/>
        </w:rPr>
        <w:t>,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 требующие общественного контроля</w:t>
      </w:r>
      <w:r w:rsidR="00824108" w:rsidRPr="00824108">
        <w:rPr>
          <w:rFonts w:ascii="Times New Roman" w:hAnsi="Times New Roman"/>
          <w:snapToGrid w:val="0"/>
          <w:color w:val="auto"/>
          <w:sz w:val="28"/>
          <w:szCs w:val="28"/>
        </w:rPr>
        <w:t>,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 а также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Публичная декларация целей и задач ФНС России на 2022 год</w:t>
      </w:r>
      <w:r w:rsidR="00A1094D" w:rsidRPr="00A1094D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>и Манифест ФНС России</w:t>
      </w:r>
      <w:r w:rsidR="00A1094D" w:rsidRPr="00A1094D">
        <w:rPr>
          <w:rFonts w:ascii="Times New Roman" w:hAnsi="Times New Roman"/>
          <w:snapToGrid w:val="0"/>
          <w:color w:val="auto"/>
          <w:sz w:val="28"/>
          <w:szCs w:val="28"/>
        </w:rPr>
        <w:t>.</w:t>
      </w:r>
      <w:r w:rsidR="00A1094D">
        <w:rPr>
          <w:rFonts w:ascii="Times New Roman" w:hAnsi="Times New Roman"/>
          <w:snapToGrid w:val="0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Ежеквартально в течение отчетного периода проводился анализ достигнутых Управлением показателей </w:t>
      </w:r>
      <w:r w:rsidR="00D120FB">
        <w:rPr>
          <w:rFonts w:ascii="Times New Roman" w:hAnsi="Times New Roman"/>
          <w:snapToGrid w:val="0"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сравнени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24108">
        <w:rPr>
          <w:rFonts w:ascii="Times New Roman" w:hAnsi="Times New Roman"/>
          <w:snapToGrid w:val="0"/>
          <w:color w:val="auto"/>
          <w:sz w:val="28"/>
          <w:szCs w:val="28"/>
        </w:rPr>
        <w:t xml:space="preserve">их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с общероссийским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 xml:space="preserve"> уровнем.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202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году </w:t>
      </w:r>
      <w:r w:rsidR="00543ADF">
        <w:rPr>
          <w:rFonts w:ascii="Times New Roman" w:hAnsi="Times New Roman"/>
          <w:snapToGrid w:val="0"/>
          <w:color w:val="auto"/>
          <w:sz w:val="28"/>
          <w:szCs w:val="28"/>
        </w:rPr>
        <w:t>(в сроки</w:t>
      </w:r>
      <w:r w:rsidR="00543ADF" w:rsidRPr="00543ADF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 w:rsidR="00543ADF">
        <w:rPr>
          <w:rFonts w:ascii="Times New Roman" w:hAnsi="Times New Roman"/>
          <w:snapToGrid w:val="0"/>
          <w:color w:val="auto"/>
          <w:sz w:val="28"/>
          <w:szCs w:val="28"/>
        </w:rPr>
        <w:t xml:space="preserve">установленные ФНС России)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в </w:t>
      </w:r>
      <w:r w:rsidR="00D120FB">
        <w:rPr>
          <w:rFonts w:ascii="Times New Roman" w:hAnsi="Times New Roman"/>
          <w:snapToGrid w:val="0"/>
          <w:color w:val="auto"/>
          <w:sz w:val="28"/>
          <w:szCs w:val="28"/>
        </w:rPr>
        <w:t xml:space="preserve">региональном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разделе сайта ФНС России «Статистика и аналитика» размещались статистические отчетные данные по основным направлениям деятельности 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>Управления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Pr="00745DA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napToGrid w:val="0"/>
          <w:color w:val="auto"/>
          <w:sz w:val="28"/>
          <w:szCs w:val="28"/>
        </w:rPr>
      </w:pPr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2. Отчет об итогах реализации инициативного проекта.</w:t>
      </w:r>
      <w:bookmarkStart w:id="0" w:name="_GoBack"/>
      <w:bookmarkEnd w:id="0"/>
    </w:p>
    <w:p w:rsidR="00720399" w:rsidRPr="00745DA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napToGrid w:val="0"/>
          <w:color w:val="auto"/>
          <w:sz w:val="28"/>
          <w:szCs w:val="28"/>
        </w:rPr>
      </w:pPr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:rsidR="00CC6FE6" w:rsidRPr="00ED13AA" w:rsidRDefault="00CC6FE6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Развитие  механизмов информационного взаимодействия с МФЦ по вопросам предоставления  заявителям государственных услуг ФНС России </w:t>
      </w:r>
    </w:p>
    <w:p w:rsidR="00CC6FE6" w:rsidRPr="00ED13AA" w:rsidRDefault="00CC6FE6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lastRenderedPageBreak/>
        <w:t xml:space="preserve">Увеличение количества  обучающих семинаров со специалистами МФЦ обусловлено  переходом налоговых органов Тамбовской области на двухуровневую систему с последующим массовым сокращением </w:t>
      </w:r>
      <w:proofErr w:type="spell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ТОРМов</w:t>
      </w:r>
      <w:proofErr w:type="spell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 на территории региона. </w:t>
      </w:r>
    </w:p>
    <w:p w:rsidR="00CC6FE6" w:rsidRPr="00ED13AA" w:rsidRDefault="00CC6FE6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Проведение дополнительных тематических </w:t>
      </w:r>
      <w:proofErr w:type="spell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вебинаров</w:t>
      </w:r>
      <w:proofErr w:type="spell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направлено  на  повышение эффективности и  качества предоставляемых  услуг Федеральной налоговой службы при массовом обращении заявителей за их получением в отделения МФЦ, расположенные  на территории Тамбовской области;</w:t>
      </w:r>
    </w:p>
    <w:p w:rsidR="00720399" w:rsidRPr="00745DA9" w:rsidRDefault="00CC6FE6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Повышение образовательного уровня специалистов МФЦ, в части предоставления ими услуг ФНС России, направлено на создание максимально благоприятных и комфортных условий и  оперативное обслуживание, с учетом сокращения мест обслуживания налогоплательщиков </w:t>
      </w:r>
      <w:proofErr w:type="gram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</w:t>
      </w:r>
      <w:proofErr w:type="gram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 упраздненных  </w:t>
      </w:r>
      <w:proofErr w:type="spell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ТОРМах</w:t>
      </w:r>
      <w:proofErr w:type="spell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ab/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ab/>
      </w:r>
      <w:r w:rsidR="00ED13AA"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ED13AA"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году</w:t>
      </w:r>
      <w:proofErr w:type="gramEnd"/>
      <w:r w:rsidR="00ED13AA"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 xml:space="preserve"> и </w:t>
      </w:r>
      <w:proofErr w:type="gramStart"/>
      <w:r w:rsidR="00ED13AA"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какие</w:t>
      </w:r>
      <w:proofErr w:type="gramEnd"/>
      <w:r w:rsidR="00ED13AA"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 xml:space="preserve"> результаты получены.</w:t>
      </w:r>
    </w:p>
    <w:p w:rsidR="002027FE" w:rsidRPr="002027FE" w:rsidRDefault="002027FE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2027FE">
        <w:rPr>
          <w:rFonts w:ascii="Times New Roman" w:hAnsi="Times New Roman"/>
          <w:snapToGrid w:val="0"/>
          <w:color w:val="auto"/>
          <w:sz w:val="28"/>
          <w:szCs w:val="28"/>
        </w:rPr>
        <w:t>Для сотрудников МФЦ в  январ</w:t>
      </w:r>
      <w:r w:rsidR="00D120FB"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 w:rsidRPr="002027FE">
        <w:rPr>
          <w:rFonts w:ascii="Times New Roman" w:hAnsi="Times New Roman"/>
          <w:snapToGrid w:val="0"/>
          <w:color w:val="auto"/>
          <w:sz w:val="28"/>
          <w:szCs w:val="28"/>
        </w:rPr>
        <w:t>-декабр</w:t>
      </w:r>
      <w:r w:rsidR="00D120FB"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 w:rsidRPr="002027FE">
        <w:rPr>
          <w:rFonts w:ascii="Times New Roman" w:hAnsi="Times New Roman"/>
          <w:snapToGrid w:val="0"/>
          <w:color w:val="auto"/>
          <w:sz w:val="28"/>
          <w:szCs w:val="28"/>
        </w:rPr>
        <w:t xml:space="preserve"> 2022 года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специалистами УФНС России по Тамбовской области </w:t>
      </w:r>
      <w:r w:rsidRPr="002027FE">
        <w:rPr>
          <w:rFonts w:ascii="Times New Roman" w:hAnsi="Times New Roman"/>
          <w:snapToGrid w:val="0"/>
          <w:color w:val="auto"/>
          <w:sz w:val="28"/>
          <w:szCs w:val="28"/>
        </w:rPr>
        <w:t>проведено 27 инструктажей по  следующим вопросам: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бесплатное информирование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прием заявления физического лица о предоставлении налоговой льготы по транспортному налогу, земельному налогу, налогу на имущество физических лиц;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 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приём уведомления о выбранном земельном участке, в отношении которого применяется налоговый вычет по земельному налогу;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 приём заявления о выдаче налогового уведомления;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прием заявления о гибели или уничтожении объекта налогообложения по налогу на имущество физических лиц;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 xml:space="preserve">- прием от налогоплательщиков, являющихся физическими лицами, налоговых деклараций по налогу на доходы физических лиц (форма </w:t>
      </w:r>
      <w:r w:rsidR="00C425A1">
        <w:rPr>
          <w:rFonts w:ascii="Times New Roman" w:hAnsi="Times New Roman"/>
          <w:color w:val="auto"/>
          <w:sz w:val="28"/>
          <w:szCs w:val="28"/>
        </w:rPr>
        <w:t>№</w:t>
      </w:r>
      <w:r w:rsidRPr="002027FE">
        <w:rPr>
          <w:rFonts w:ascii="Times New Roman" w:hAnsi="Times New Roman"/>
          <w:color w:val="auto"/>
          <w:sz w:val="28"/>
          <w:szCs w:val="28"/>
        </w:rPr>
        <w:t>3-НДФЛ) на бумажном носителе;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 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 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лицами;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lastRenderedPageBreak/>
        <w:t xml:space="preserve">-   прием заявления о гибели или уничтожении объекта налогообложения по транспортному налогу; 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 прием заявления о прекращении исчисления транспортного налога в связи с принудительным изъятием транспортного средства,</w:t>
      </w:r>
    </w:p>
    <w:p w:rsidR="002027FE" w:rsidRPr="002027FE" w:rsidRDefault="002027FE" w:rsidP="002027F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-   прием запроса от физического лица по вопросам налогообложения.</w:t>
      </w:r>
    </w:p>
    <w:p w:rsidR="002027FE" w:rsidRPr="002027FE" w:rsidRDefault="002027FE" w:rsidP="002027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Кроме того</w:t>
      </w:r>
      <w:r w:rsidRPr="002027FE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для </w:t>
      </w:r>
      <w:r w:rsidRPr="002027FE">
        <w:rPr>
          <w:rFonts w:ascii="Times New Roman" w:hAnsi="Times New Roman"/>
          <w:snapToGrid w:val="0"/>
          <w:color w:val="auto"/>
          <w:sz w:val="28"/>
          <w:szCs w:val="28"/>
        </w:rPr>
        <w:t>обеспечения информационного обслуживания налогоплательщиков – физических лиц на территориях муниципальных образований приказом УФНС России по Тамбовской области от 5 октября 2022 № 01.1-05/031@ «О работе Мобильного офиса» утверждено Положение о Мобильном офисе Управления. В</w:t>
      </w:r>
      <w:r w:rsidRPr="002027FE">
        <w:rPr>
          <w:rFonts w:ascii="Times New Roman" w:hAnsi="Times New Roman"/>
          <w:bCs/>
          <w:color w:val="auto"/>
          <w:sz w:val="28"/>
          <w:szCs w:val="28"/>
        </w:rPr>
        <w:t>ыезды в города и районы области осуществля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лись </w:t>
      </w:r>
      <w:r w:rsidRPr="002027FE">
        <w:rPr>
          <w:rFonts w:ascii="Times New Roman" w:hAnsi="Times New Roman"/>
          <w:bCs/>
          <w:color w:val="auto"/>
          <w:sz w:val="28"/>
          <w:szCs w:val="28"/>
        </w:rPr>
        <w:t xml:space="preserve"> с учетом предложений со стороны органов местного самоуправления и МФЦ. В 4 квартале 2022 года организовано</w:t>
      </w:r>
      <w:r w:rsidRPr="002027FE">
        <w:rPr>
          <w:rFonts w:ascii="Times New Roman" w:hAnsi="Times New Roman"/>
          <w:sz w:val="28"/>
          <w:szCs w:val="28"/>
        </w:rPr>
        <w:t xml:space="preserve"> 10 выездов Мобильного офиса в</w:t>
      </w:r>
      <w:r>
        <w:rPr>
          <w:rFonts w:ascii="Times New Roman" w:hAnsi="Times New Roman"/>
          <w:sz w:val="28"/>
          <w:szCs w:val="28"/>
        </w:rPr>
        <w:t xml:space="preserve"> отдаленные </w:t>
      </w:r>
      <w:r w:rsidRPr="002027FE">
        <w:rPr>
          <w:rFonts w:ascii="Times New Roman" w:hAnsi="Times New Roman"/>
          <w:sz w:val="28"/>
          <w:szCs w:val="28"/>
        </w:rPr>
        <w:t xml:space="preserve"> города и районы области.</w:t>
      </w:r>
    </w:p>
    <w:p w:rsidR="00720399" w:rsidRPr="002027FE" w:rsidRDefault="00202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7FE">
        <w:rPr>
          <w:rFonts w:ascii="Times New Roman" w:hAnsi="Times New Roman"/>
          <w:color w:val="auto"/>
          <w:sz w:val="28"/>
          <w:szCs w:val="28"/>
        </w:rPr>
        <w:t>Жалоб на качество предоставления государственных услуг Федеральной налоговой службы  в МФЦ в  период январь-декабрь 2022 года  не поступало.</w:t>
      </w:r>
      <w:r w:rsidRPr="002027FE">
        <w:rPr>
          <w:rFonts w:ascii="Times New Roman" w:hAnsi="Times New Roman"/>
          <w:sz w:val="28"/>
          <w:szCs w:val="28"/>
        </w:rPr>
        <w:t xml:space="preserve"> </w:t>
      </w:r>
    </w:p>
    <w:p w:rsidR="00720399" w:rsidRPr="002027FE" w:rsidRDefault="00720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399" w:rsidRDefault="007203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399" w:rsidRDefault="0072039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0399" w:rsidRDefault="007203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20399" w:rsidRDefault="007203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sectPr w:rsidR="00720399">
      <w:headerReference w:type="default" r:id="rId7"/>
      <w:footerReference w:type="default" r:id="rId8"/>
      <w:headerReference w:type="first" r:id="rId9"/>
      <w:pgSz w:w="11906" w:h="16838"/>
      <w:pgMar w:top="284" w:right="566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19" w:rsidRDefault="00AA4919">
      <w:pPr>
        <w:spacing w:after="0" w:line="240" w:lineRule="auto"/>
      </w:pPr>
      <w:r>
        <w:separator/>
      </w:r>
    </w:p>
  </w:endnote>
  <w:endnote w:type="continuationSeparator" w:id="0">
    <w:p w:rsidR="00AA4919" w:rsidRDefault="00AA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eeSet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9" w:rsidRDefault="00720399">
    <w:pPr>
      <w:pStyle w:val="a9"/>
      <w:jc w:val="center"/>
    </w:pPr>
  </w:p>
  <w:p w:rsidR="00720399" w:rsidRDefault="00720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19" w:rsidRDefault="00AA4919">
      <w:pPr>
        <w:spacing w:after="0" w:line="240" w:lineRule="auto"/>
      </w:pPr>
      <w:r>
        <w:separator/>
      </w:r>
    </w:p>
  </w:footnote>
  <w:footnote w:type="continuationSeparator" w:id="0">
    <w:p w:rsidR="00AA4919" w:rsidRDefault="00AA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9" w:rsidRDefault="00ED13A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43ADF">
      <w:rPr>
        <w:noProof/>
      </w:rPr>
      <w:t>2</w:t>
    </w:r>
    <w:r>
      <w:fldChar w:fldCharType="end"/>
    </w:r>
  </w:p>
  <w:p w:rsidR="00720399" w:rsidRDefault="00720399">
    <w:pPr>
      <w:pStyle w:val="ab"/>
      <w:jc w:val="center"/>
    </w:pPr>
  </w:p>
  <w:p w:rsidR="00720399" w:rsidRDefault="007203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9" w:rsidRDefault="00720399">
    <w:pPr>
      <w:pStyle w:val="ab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9"/>
    <w:rsid w:val="002027FE"/>
    <w:rsid w:val="004B41A4"/>
    <w:rsid w:val="00543ADF"/>
    <w:rsid w:val="00707EAD"/>
    <w:rsid w:val="00720399"/>
    <w:rsid w:val="00745DA9"/>
    <w:rsid w:val="00753589"/>
    <w:rsid w:val="00824108"/>
    <w:rsid w:val="00A1094D"/>
    <w:rsid w:val="00AA4919"/>
    <w:rsid w:val="00BA7570"/>
    <w:rsid w:val="00C425A1"/>
    <w:rsid w:val="00CC2B36"/>
    <w:rsid w:val="00CC6FE6"/>
    <w:rsid w:val="00D120FB"/>
    <w:rsid w:val="00E50430"/>
    <w:rsid w:val="00ED13AA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4">
    <w:name w:val="Знак Знак"/>
    <w:basedOn w:val="a"/>
    <w:link w:val="a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5">
    <w:name w:val="Знак Знак"/>
    <w:basedOn w:val="1"/>
    <w:link w:val="a4"/>
    <w:rPr>
      <w:rFonts w:ascii="Times New Roman" w:hAnsi="Times New Roman"/>
      <w:sz w:val="28"/>
    </w:rPr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15">
    <w:name w:val="Знак1"/>
    <w:basedOn w:val="1"/>
    <w:link w:val="14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6">
    <w:name w:val="Знак примечания1"/>
    <w:basedOn w:val="12"/>
    <w:link w:val="a6"/>
    <w:rPr>
      <w:sz w:val="16"/>
    </w:rPr>
  </w:style>
  <w:style w:type="character" w:styleId="a6">
    <w:name w:val="annotation reference"/>
    <w:basedOn w:val="a0"/>
    <w:link w:val="16"/>
    <w:rPr>
      <w:sz w:val="16"/>
    </w:rPr>
  </w:style>
  <w:style w:type="paragraph" w:styleId="a7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Абзац списка1"/>
    <w:basedOn w:val="a"/>
    <w:link w:val="18"/>
    <w:pPr>
      <w:spacing w:after="160" w:line="264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annotation subject"/>
    <w:basedOn w:val="a7"/>
    <w:next w:val="a7"/>
    <w:link w:val="af"/>
    <w:rPr>
      <w:b/>
    </w:rPr>
  </w:style>
  <w:style w:type="character" w:customStyle="1" w:styleId="af">
    <w:name w:val="Тема примечания Знак"/>
    <w:basedOn w:val="a8"/>
    <w:link w:val="ae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lock Text"/>
    <w:basedOn w:val="a"/>
    <w:link w:val="af1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</w:rPr>
  </w:style>
  <w:style w:type="character" w:customStyle="1" w:styleId="af1">
    <w:name w:val="Цитата Знак"/>
    <w:basedOn w:val="1"/>
    <w:link w:val="af0"/>
    <w:rPr>
      <w:rFonts w:ascii="FreeSetC" w:hAnsi="FreeSetC"/>
      <w:sz w:val="24"/>
    </w:rPr>
  </w:style>
  <w:style w:type="paragraph" w:styleId="af2">
    <w:name w:val="List Paragraph"/>
    <w:basedOn w:val="a"/>
    <w:link w:val="af3"/>
    <w:pPr>
      <w:spacing w:after="160" w:line="264" w:lineRule="auto"/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customStyle="1" w:styleId="1c">
    <w:name w:val="Основной текст1"/>
    <w:basedOn w:val="a"/>
    <w:link w:val="1d"/>
    <w:pPr>
      <w:spacing w:after="1320" w:line="312" w:lineRule="exact"/>
      <w:jc w:val="center"/>
    </w:pPr>
    <w:rPr>
      <w:rFonts w:ascii="Times New Roman" w:hAnsi="Times New Roman"/>
      <w:sz w:val="27"/>
    </w:rPr>
  </w:style>
  <w:style w:type="character" w:customStyle="1" w:styleId="1d">
    <w:name w:val="Основной текст1"/>
    <w:basedOn w:val="1"/>
    <w:link w:val="1c"/>
    <w:rPr>
      <w:rFonts w:ascii="Times New Roman" w:hAnsi="Times New Roman"/>
      <w:sz w:val="27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a">
    <w:link w:val="afb"/>
    <w:semiHidden/>
    <w:unhideWhenUsed/>
    <w:pPr>
      <w:spacing w:after="0" w:line="240" w:lineRule="auto"/>
    </w:pPr>
  </w:style>
  <w:style w:type="character" w:customStyle="1" w:styleId="afb">
    <w:link w:val="afa"/>
    <w:semiHidden/>
    <w:unhideWhenUsed/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4">
    <w:name w:val="Знак Знак"/>
    <w:basedOn w:val="a"/>
    <w:link w:val="a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5">
    <w:name w:val="Знак Знак"/>
    <w:basedOn w:val="1"/>
    <w:link w:val="a4"/>
    <w:rPr>
      <w:rFonts w:ascii="Times New Roman" w:hAnsi="Times New Roman"/>
      <w:sz w:val="28"/>
    </w:rPr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15">
    <w:name w:val="Знак1"/>
    <w:basedOn w:val="1"/>
    <w:link w:val="14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6">
    <w:name w:val="Знак примечания1"/>
    <w:basedOn w:val="12"/>
    <w:link w:val="a6"/>
    <w:rPr>
      <w:sz w:val="16"/>
    </w:rPr>
  </w:style>
  <w:style w:type="character" w:styleId="a6">
    <w:name w:val="annotation reference"/>
    <w:basedOn w:val="a0"/>
    <w:link w:val="16"/>
    <w:rPr>
      <w:sz w:val="16"/>
    </w:rPr>
  </w:style>
  <w:style w:type="paragraph" w:styleId="a7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Абзац списка1"/>
    <w:basedOn w:val="a"/>
    <w:link w:val="18"/>
    <w:pPr>
      <w:spacing w:after="160" w:line="264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annotation subject"/>
    <w:basedOn w:val="a7"/>
    <w:next w:val="a7"/>
    <w:link w:val="af"/>
    <w:rPr>
      <w:b/>
    </w:rPr>
  </w:style>
  <w:style w:type="character" w:customStyle="1" w:styleId="af">
    <w:name w:val="Тема примечания Знак"/>
    <w:basedOn w:val="a8"/>
    <w:link w:val="ae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lock Text"/>
    <w:basedOn w:val="a"/>
    <w:link w:val="af1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</w:rPr>
  </w:style>
  <w:style w:type="character" w:customStyle="1" w:styleId="af1">
    <w:name w:val="Цитата Знак"/>
    <w:basedOn w:val="1"/>
    <w:link w:val="af0"/>
    <w:rPr>
      <w:rFonts w:ascii="FreeSetC" w:hAnsi="FreeSetC"/>
      <w:sz w:val="24"/>
    </w:rPr>
  </w:style>
  <w:style w:type="paragraph" w:styleId="af2">
    <w:name w:val="List Paragraph"/>
    <w:basedOn w:val="a"/>
    <w:link w:val="af3"/>
    <w:pPr>
      <w:spacing w:after="160" w:line="264" w:lineRule="auto"/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customStyle="1" w:styleId="1c">
    <w:name w:val="Основной текст1"/>
    <w:basedOn w:val="a"/>
    <w:link w:val="1d"/>
    <w:pPr>
      <w:spacing w:after="1320" w:line="312" w:lineRule="exact"/>
      <w:jc w:val="center"/>
    </w:pPr>
    <w:rPr>
      <w:rFonts w:ascii="Times New Roman" w:hAnsi="Times New Roman"/>
      <w:sz w:val="27"/>
    </w:rPr>
  </w:style>
  <w:style w:type="character" w:customStyle="1" w:styleId="1d">
    <w:name w:val="Основной текст1"/>
    <w:basedOn w:val="1"/>
    <w:link w:val="1c"/>
    <w:rPr>
      <w:rFonts w:ascii="Times New Roman" w:hAnsi="Times New Roman"/>
      <w:sz w:val="27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a">
    <w:link w:val="afb"/>
    <w:semiHidden/>
    <w:unhideWhenUsed/>
    <w:pPr>
      <w:spacing w:after="0" w:line="240" w:lineRule="auto"/>
    </w:pPr>
  </w:style>
  <w:style w:type="character" w:customStyle="1" w:styleId="afb">
    <w:link w:val="afa"/>
    <w:semiHidden/>
    <w:unhideWhenUsed/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Львовна</dc:creator>
  <cp:lastModifiedBy>Семенова Наталья Львовна</cp:lastModifiedBy>
  <cp:revision>3</cp:revision>
  <dcterms:created xsi:type="dcterms:W3CDTF">2023-04-10T08:58:00Z</dcterms:created>
  <dcterms:modified xsi:type="dcterms:W3CDTF">2023-04-10T10:11:00Z</dcterms:modified>
</cp:coreProperties>
</file>