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4766893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w:t>
      </w:r>
      <w:r w:rsidR="00277784">
        <w:rPr>
          <w:rFonts w:ascii="Times New Roman" w:hAnsi="Times New Roman"/>
          <w:sz w:val="28"/>
          <w:szCs w:val="28"/>
        </w:rPr>
        <w:t>к</w:t>
      </w:r>
      <w:r w:rsidR="008621DE" w:rsidRPr="006848CC">
        <w:rPr>
          <w:rFonts w:ascii="Times New Roman" w:hAnsi="Times New Roman"/>
          <w:sz w:val="28"/>
          <w:szCs w:val="28"/>
        </w:rPr>
        <w:t>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w:t>
      </w:r>
      <w:r w:rsidRPr="002937E4">
        <w:rPr>
          <w:rFonts w:ascii="Times New Roman" w:hAnsi="Times New Roman"/>
          <w:sz w:val="28"/>
          <w:szCs w:val="28"/>
        </w:rPr>
        <w:lastRenderedPageBreak/>
        <w:t>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w:t>
            </w:r>
            <w:r w:rsidR="00CC5A5A">
              <w:rPr>
                <w:rFonts w:ascii="Times New Roman" w:hAnsi="Times New Roman"/>
                <w:sz w:val="28"/>
                <w:szCs w:val="28"/>
              </w:rPr>
              <w:lastRenderedPageBreak/>
              <w:t xml:space="preserve">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w:t>
            </w:r>
            <w:r w:rsidRPr="002937E4">
              <w:rPr>
                <w:rFonts w:ascii="Times New Roman" w:hAnsi="Times New Roman"/>
                <w:sz w:val="28"/>
                <w:szCs w:val="28"/>
              </w:rPr>
              <w:lastRenderedPageBreak/>
              <w:t xml:space="preserve">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5303" w14:textId="77777777" w:rsidR="00E31969" w:rsidRDefault="00E31969">
      <w:r>
        <w:separator/>
      </w:r>
    </w:p>
  </w:endnote>
  <w:endnote w:type="continuationSeparator" w:id="0">
    <w:p w14:paraId="30A31083" w14:textId="77777777" w:rsidR="00E31969" w:rsidRDefault="00E31969">
      <w:r>
        <w:continuationSeparator/>
      </w:r>
    </w:p>
  </w:endnote>
  <w:endnote w:type="continuationNotice" w:id="1">
    <w:p w14:paraId="4B5CA8A0" w14:textId="77777777" w:rsidR="00E31969" w:rsidRDefault="00E31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F2ED" w14:textId="77777777" w:rsidR="00E31969" w:rsidRDefault="00E31969">
      <w:r>
        <w:separator/>
      </w:r>
    </w:p>
  </w:footnote>
  <w:footnote w:type="continuationSeparator" w:id="0">
    <w:p w14:paraId="20DCDEA7" w14:textId="77777777" w:rsidR="00E31969" w:rsidRDefault="00E31969">
      <w:r>
        <w:continuationSeparator/>
      </w:r>
    </w:p>
  </w:footnote>
  <w:footnote w:type="continuationNotice" w:id="1">
    <w:p w14:paraId="15F1A0B9" w14:textId="77777777" w:rsidR="00E31969" w:rsidRDefault="00E31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22049" w:rsidRPr="00722049">
      <w:rPr>
        <w:rFonts w:ascii="Times New Roman" w:eastAsia="Times New Roman" w:hAnsi="Times New Roman"/>
        <w:noProof/>
        <w:sz w:val="28"/>
      </w:rPr>
      <w:t>64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77784"/>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1969"/>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Normal.dotm</Template>
  <TotalTime>27</TotalTime>
  <Pages>67</Pages>
  <Words>28670</Words>
  <Characters>163425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Костров Дмитрий Александрович</cp:lastModifiedBy>
  <cp:revision>6</cp:revision>
  <cp:lastPrinted>2024-01-31T08:32:00Z</cp:lastPrinted>
  <dcterms:created xsi:type="dcterms:W3CDTF">2024-02-12T07:45:00Z</dcterms:created>
  <dcterms:modified xsi:type="dcterms:W3CDTF">2024-02-14T10:49:00Z</dcterms:modified>
</cp:coreProperties>
</file>