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FD" w:rsidRDefault="00E128FD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сентября 2017 г. N 48264</w:t>
      </w:r>
    </w:p>
    <w:p w:rsidR="00E128FD" w:rsidRDefault="00E12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Title"/>
        <w:jc w:val="center"/>
      </w:pPr>
      <w:r>
        <w:t>МИНИСТЕРСТВО ФИНАНСОВ РОССИЙСКОЙ ФЕДЕРАЦИИ</w:t>
      </w:r>
    </w:p>
    <w:p w:rsidR="00E128FD" w:rsidRDefault="00E128FD">
      <w:pPr>
        <w:pStyle w:val="ConsPlusTitle"/>
        <w:jc w:val="both"/>
      </w:pPr>
    </w:p>
    <w:p w:rsidR="00E128FD" w:rsidRDefault="00E128FD">
      <w:pPr>
        <w:pStyle w:val="ConsPlusTitle"/>
        <w:jc w:val="center"/>
      </w:pPr>
      <w:r>
        <w:t>ФЕДЕРАЛЬНАЯ НАЛОГОВАЯ СЛУЖБА</w:t>
      </w:r>
    </w:p>
    <w:p w:rsidR="00E128FD" w:rsidRDefault="00E128FD">
      <w:pPr>
        <w:pStyle w:val="ConsPlusTitle"/>
        <w:jc w:val="both"/>
      </w:pPr>
    </w:p>
    <w:p w:rsidR="00E128FD" w:rsidRDefault="00E128FD">
      <w:pPr>
        <w:pStyle w:val="ConsPlusTitle"/>
        <w:jc w:val="center"/>
      </w:pPr>
      <w:r>
        <w:t>ПРИКАЗ</w:t>
      </w:r>
    </w:p>
    <w:p w:rsidR="00E128FD" w:rsidRDefault="00E128FD">
      <w:pPr>
        <w:pStyle w:val="ConsPlusTitle"/>
        <w:jc w:val="center"/>
      </w:pPr>
      <w:r>
        <w:t>от 30 августа 2017 г. N ММВ-7-4/700@</w:t>
      </w:r>
    </w:p>
    <w:p w:rsidR="00E128FD" w:rsidRDefault="00E128FD">
      <w:pPr>
        <w:pStyle w:val="ConsPlusTitle"/>
        <w:jc w:val="both"/>
      </w:pPr>
    </w:p>
    <w:p w:rsidR="00E128FD" w:rsidRDefault="00E128FD">
      <w:pPr>
        <w:pStyle w:val="ConsPlusTitle"/>
        <w:jc w:val="center"/>
      </w:pPr>
      <w:r>
        <w:t>ОБ УТВЕРЖДЕНИИ ПОЛОЖЕНИЯ</w:t>
      </w:r>
    </w:p>
    <w:p w:rsidR="00E128FD" w:rsidRDefault="00E128FD">
      <w:pPr>
        <w:pStyle w:val="ConsPlusTitle"/>
        <w:jc w:val="center"/>
      </w:pPr>
      <w:r>
        <w:t>О КОМИССИИ ТЕРРИТОРИАЛЬНОГО ОРГАНА ФЕДЕРАЛЬНОЙ НАЛОГОВОЙ</w:t>
      </w:r>
    </w:p>
    <w:p w:rsidR="00E128FD" w:rsidRDefault="00E128FD">
      <w:pPr>
        <w:pStyle w:val="ConsPlusTitle"/>
        <w:jc w:val="center"/>
      </w:pPr>
      <w:r>
        <w:t>СЛУЖБЫ ПО СОБЛЮДЕНИЮ ТРЕБОВАНИЙ К СЛУЖЕБНОМУ ПОВЕДЕНИЮ</w:t>
      </w:r>
    </w:p>
    <w:p w:rsidR="00E128FD" w:rsidRDefault="00E128FD">
      <w:pPr>
        <w:pStyle w:val="ConsPlusTitle"/>
        <w:jc w:val="center"/>
      </w:pPr>
      <w:r>
        <w:t>ФЕДЕРАЛЬНЫХ ГОСУДАРСТВЕННЫХ ГРАЖДАНСКИХ СЛУЖАЩИХ</w:t>
      </w:r>
    </w:p>
    <w:p w:rsidR="00E128FD" w:rsidRDefault="00E128FD">
      <w:pPr>
        <w:pStyle w:val="ConsPlusTitle"/>
        <w:jc w:val="center"/>
      </w:pPr>
      <w:r>
        <w:t>И УРЕГУЛИРОВАНИЮ КОНФЛИКТА ИНТЕРЕСОВ</w:t>
      </w:r>
    </w:p>
    <w:p w:rsidR="00E128FD" w:rsidRDefault="00E128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28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ФНС России от 20.03.2018 </w:t>
            </w:r>
            <w:hyperlink r:id="rId4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5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6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,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02.02.2026 </w:t>
            </w:r>
            <w:hyperlink r:id="rId7">
              <w:r>
                <w:rPr>
                  <w:color w:val="0000FF"/>
                </w:rPr>
                <w:t>N ЕД-1-4/62@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</w:tr>
    </w:tbl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 (ч. 1), ст. 4824),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1), ст. 6228; 2017, N 15 (ч. 1), ст. 2139),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</w:t>
      </w:r>
      <w:hyperlink r:id="rId11">
        <w:r>
          <w:rPr>
            <w:color w:val="0000FF"/>
          </w:rPr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2017, N 29, ст. 4375), указами Президента Российской Федерации от 21 сентября 2009 г. </w:t>
      </w:r>
      <w:hyperlink r:id="rId12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от 1 </w:t>
      </w:r>
      <w:r>
        <w:lastRenderedPageBreak/>
        <w:t xml:space="preserve">июля 2010 г. </w:t>
      </w:r>
      <w:hyperlink r:id="rId13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от 2 апреля 2013 г. </w:t>
      </w:r>
      <w:hyperlink r:id="rId14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2017, N 9, ст. 1339), от 21 июля 2010 г. </w:t>
      </w:r>
      <w:hyperlink r:id="rId15">
        <w:r>
          <w:rPr>
            <w:color w:val="0000FF"/>
          </w:rPr>
          <w:t>N 925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6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2014, N 26 (ч. 2), ст. 3520), и от 22 декабря 2015 г. </w:t>
      </w:r>
      <w:hyperlink r:id="rId17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 (ч. 1), ст. 7588) приказываю: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приказ</w:t>
        </w:r>
      </w:hyperlink>
      <w:r>
        <w:t xml:space="preserve"> ФНС России от 13 октября 2015 г. N ММВ-7-4/444@ "Об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11 ноября 2015 г., регистрационный N 39662).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right"/>
      </w:pPr>
      <w:r>
        <w:t>Руководитель</w:t>
      </w:r>
    </w:p>
    <w:p w:rsidR="00E128FD" w:rsidRDefault="00E128FD">
      <w:pPr>
        <w:pStyle w:val="ConsPlusNormal"/>
        <w:jc w:val="right"/>
      </w:pPr>
      <w:r>
        <w:t>Федеральной налоговой службы</w:t>
      </w:r>
    </w:p>
    <w:p w:rsidR="00E128FD" w:rsidRDefault="00E128FD">
      <w:pPr>
        <w:pStyle w:val="ConsPlusNormal"/>
        <w:jc w:val="right"/>
      </w:pPr>
      <w:r>
        <w:t>М.В.МИШУСТИН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right"/>
        <w:outlineLvl w:val="0"/>
      </w:pPr>
      <w:r>
        <w:t>Утверждено</w:t>
      </w:r>
    </w:p>
    <w:p w:rsidR="00E128FD" w:rsidRDefault="00E128FD">
      <w:pPr>
        <w:pStyle w:val="ConsPlusNormal"/>
        <w:jc w:val="right"/>
      </w:pPr>
      <w:r>
        <w:t>приказом ФНС России</w:t>
      </w:r>
    </w:p>
    <w:p w:rsidR="00E128FD" w:rsidRDefault="00E128FD">
      <w:pPr>
        <w:pStyle w:val="ConsPlusNormal"/>
        <w:jc w:val="right"/>
      </w:pPr>
      <w:r>
        <w:t>от 30.08.2017 N ММВ-7-4/700@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Title"/>
        <w:jc w:val="center"/>
      </w:pPr>
      <w:bookmarkStart w:id="1" w:name="P38"/>
      <w:bookmarkEnd w:id="1"/>
      <w:r>
        <w:t>ПОЛОЖЕНИЕ</w:t>
      </w:r>
    </w:p>
    <w:p w:rsidR="00E128FD" w:rsidRDefault="00E128FD">
      <w:pPr>
        <w:pStyle w:val="ConsPlusTitle"/>
        <w:jc w:val="center"/>
      </w:pPr>
      <w:r>
        <w:t>О КОМИССИИ ТЕРРИТОРИАЛЬНОГО ОРГАНА ФЕДЕРАЛЬНОЙ НАЛОГОВОЙ</w:t>
      </w:r>
    </w:p>
    <w:p w:rsidR="00E128FD" w:rsidRDefault="00E128FD">
      <w:pPr>
        <w:pStyle w:val="ConsPlusTitle"/>
        <w:jc w:val="center"/>
      </w:pPr>
      <w:r>
        <w:t>СЛУЖБЫ ПО СОБЛЮДЕНИЮ ТРЕБОВАНИЙ К СЛУЖЕБНОМУ ПОВЕДЕНИЮ</w:t>
      </w:r>
    </w:p>
    <w:p w:rsidR="00E128FD" w:rsidRDefault="00E128FD">
      <w:pPr>
        <w:pStyle w:val="ConsPlusTitle"/>
        <w:jc w:val="center"/>
      </w:pPr>
      <w:r>
        <w:t>ФЕДЕРАЛЬНЫХ ГОСУДАРСТВЕННЫХ ГРАЖДАНСКИХ СЛУЖАЩИХ</w:t>
      </w:r>
    </w:p>
    <w:p w:rsidR="00E128FD" w:rsidRDefault="00E128FD">
      <w:pPr>
        <w:pStyle w:val="ConsPlusTitle"/>
        <w:jc w:val="center"/>
      </w:pPr>
      <w:r>
        <w:t>И УРЕГУЛИРОВАНИЮ КОНФЛИКТА ИНТЕРЕСОВ</w:t>
      </w:r>
    </w:p>
    <w:p w:rsidR="00E128FD" w:rsidRDefault="00E128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28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ФНС России от 20.03.2018 </w:t>
            </w:r>
            <w:hyperlink r:id="rId19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20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21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,</w:t>
            </w:r>
          </w:p>
          <w:p w:rsidR="00E128FD" w:rsidRDefault="00E128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02.02.2026 </w:t>
            </w:r>
            <w:hyperlink r:id="rId22">
              <w:r>
                <w:rPr>
                  <w:color w:val="0000FF"/>
                </w:rPr>
                <w:t>N ЕД-1-4/62@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FD" w:rsidRDefault="00E128FD">
            <w:pPr>
              <w:pStyle w:val="ConsPlusNormal"/>
            </w:pPr>
          </w:p>
        </w:tc>
      </w:tr>
    </w:tbl>
    <w:p w:rsidR="00E128FD" w:rsidRDefault="00E128FD">
      <w:pPr>
        <w:pStyle w:val="ConsPlusNormal"/>
        <w:jc w:val="both"/>
      </w:pPr>
    </w:p>
    <w:p w:rsidR="00E128FD" w:rsidRDefault="00E128FD">
      <w:pPr>
        <w:pStyle w:val="ConsPlusTitle"/>
        <w:jc w:val="center"/>
        <w:outlineLvl w:val="1"/>
      </w:pPr>
      <w:r>
        <w:t>I. Общие положения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4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3. Основной задачей Комиссии является содействие территориальному </w:t>
      </w:r>
      <w:r>
        <w:lastRenderedPageBreak/>
        <w:t>органу Федеральной налоговой службы: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E128FD" w:rsidRDefault="00E128FD">
      <w:pPr>
        <w:pStyle w:val="ConsPlusNormal"/>
        <w:jc w:val="both"/>
      </w:pPr>
      <w:r>
        <w:t xml:space="preserve">(пп. "а" в ред. </w:t>
      </w:r>
      <w:hyperlink r:id="rId2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в осуществлении в территориальном органе Федеральной налоговой службы мер по предупреждению коррупции.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в межрегиональных инспекциях Федеральной налоговой службы в отношении: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</w:t>
      </w:r>
      <w:r>
        <w:lastRenderedPageBreak/>
        <w:t>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E128FD" w:rsidRDefault="00E128FD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E128FD" w:rsidRDefault="00E128FD">
      <w:pPr>
        <w:pStyle w:val="ConsPlusNormal"/>
        <w:jc w:val="both"/>
      </w:pPr>
      <w:r>
        <w:t xml:space="preserve">(пп. "в" введен </w:t>
      </w:r>
      <w:hyperlink r:id="rId28">
        <w:r>
          <w:rPr>
            <w:color w:val="0000FF"/>
          </w:rPr>
          <w:t>Приказом</w:t>
        </w:r>
      </w:hyperlink>
      <w:r>
        <w:t xml:space="preserve"> ФНС России от 05.12.2022 N ЕД-7-4/1159@)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Title"/>
        <w:jc w:val="center"/>
        <w:outlineLvl w:val="1"/>
      </w:pPr>
      <w:r>
        <w:t>II. Состав Комиссии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ind w:firstLine="540"/>
        <w:jc w:val="both"/>
      </w:pPr>
      <w:r>
        <w:t>6. Состав Комиссии утверждается приказом территориального органа Федеральной налоговой службы.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128FD" w:rsidRDefault="00E128FD">
      <w:pPr>
        <w:pStyle w:val="ConsPlusNormal"/>
        <w:jc w:val="both"/>
      </w:pPr>
      <w:r>
        <w:t xml:space="preserve">(п. 6 в ред. </w:t>
      </w:r>
      <w:hyperlink r:id="rId29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7. В состав Комиссии входят: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" w:name="P75"/>
      <w:bookmarkEnd w:id="2"/>
      <w:r>
        <w:t xml:space="preserve">б) представитель (представители) научных организаций и </w:t>
      </w:r>
      <w:r>
        <w:lastRenderedPageBreak/>
        <w:t>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E128FD" w:rsidRDefault="00E128FD">
      <w:pPr>
        <w:pStyle w:val="ConsPlusNormal"/>
        <w:jc w:val="both"/>
      </w:pPr>
      <w:r>
        <w:t xml:space="preserve">(пп. "б" в ред. </w:t>
      </w:r>
      <w:hyperlink r:id="rId30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3" w:name="P77"/>
      <w:bookmarkEnd w:id="3"/>
      <w: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представителя общественного совета, образованного при территориальном органе Федеральной налоговой службы;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в) представителя профсоюзной организации, действующей в территориальном органе Федеральной налоговой службы.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9. Лица, указанные в </w:t>
      </w:r>
      <w:hyperlink w:anchor="P75">
        <w:r>
          <w:rPr>
            <w:color w:val="0000FF"/>
          </w:rPr>
          <w:t>подпункте "б" пункта 7</w:t>
        </w:r>
      </w:hyperlink>
      <w:r>
        <w:t xml:space="preserve"> и в </w:t>
      </w:r>
      <w:hyperlink w:anchor="P77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 территориальном органе Федеральной налоговой службы.</w:t>
      </w:r>
    </w:p>
    <w:p w:rsidR="00E128FD" w:rsidRDefault="00E128FD">
      <w:pPr>
        <w:pStyle w:val="ConsPlusNormal"/>
        <w:jc w:val="both"/>
      </w:pPr>
      <w:r>
        <w:t xml:space="preserve">(п. 9 в ред. </w:t>
      </w:r>
      <w:hyperlink r:id="rId31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E128FD" w:rsidRDefault="00E128FD">
      <w:pPr>
        <w:pStyle w:val="ConsPlusNormal"/>
        <w:jc w:val="both"/>
      </w:pPr>
      <w:r>
        <w:t xml:space="preserve">(п. 10 в ред. </w:t>
      </w:r>
      <w:hyperlink r:id="rId32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</w:t>
      </w:r>
      <w:r>
        <w:lastRenderedPageBreak/>
        <w:t>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4" w:name="P88"/>
      <w:bookmarkEnd w:id="4"/>
      <w:r>
        <w:t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Title"/>
        <w:jc w:val="center"/>
        <w:outlineLvl w:val="1"/>
      </w:pPr>
      <w:r>
        <w:t>III. Порядок работы Комиссии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ind w:firstLine="540"/>
        <w:jc w:val="both"/>
      </w:pPr>
      <w:bookmarkStart w:id="5" w:name="P94"/>
      <w:bookmarkEnd w:id="5"/>
      <w:r>
        <w:t>15. Основаниями для проведения заседания Комиссии являются: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6" w:name="P95"/>
      <w:bookmarkEnd w:id="6"/>
      <w: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33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>
        <w:lastRenderedPageBreak/>
        <w:t>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7" w:name="P96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34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8" w:name="P97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9" w:name="P98"/>
      <w:bookmarkEnd w:id="9"/>
      <w:r>
        <w:t>б) поступившее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0" w:name="P99"/>
      <w:bookmarkEnd w:id="10"/>
      <w: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35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1" w:name="P101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2" w:name="P102"/>
      <w:bookmarkEnd w:id="12"/>
      <w:r>
        <w:t xml:space="preserve">заявление гражданского служащего о невозможности выполнить требования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</w:t>
      </w:r>
      <w:r>
        <w:lastRenderedPageBreak/>
        <w:t>законодательства Российской Федерации, 2013, N 19, ст. 2306, 2017, N 1 (ч.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3" w:name="P103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4" w:name="P104"/>
      <w:bookmarkEnd w:id="14"/>
      <w: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5" w:name="P105"/>
      <w:bookmarkEnd w:id="15"/>
      <w: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6" w:name="P106"/>
      <w:bookmarkEnd w:id="16"/>
      <w:r>
        <w:t xml:space="preserve">д) поступившее в соответствии с </w:t>
      </w:r>
      <w:hyperlink r:id="rId39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4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 (ч. 1), ст. 3; 2017, N 27; 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территориальном органе Федеральной налоговой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7" w:name="P107"/>
      <w:bookmarkEnd w:id="17"/>
      <w: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128FD" w:rsidRDefault="00E128FD">
      <w:pPr>
        <w:pStyle w:val="ConsPlusNormal"/>
        <w:jc w:val="both"/>
      </w:pPr>
      <w:r>
        <w:t xml:space="preserve">(пп. "е" введен </w:t>
      </w:r>
      <w:hyperlink r:id="rId41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8" w:name="P109"/>
      <w:bookmarkEnd w:id="18"/>
      <w:r>
        <w:t xml:space="preserve">16. Обращение, указанное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2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17. Обращение, указанное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19" w:name="P113"/>
      <w:bookmarkEnd w:id="19"/>
      <w:r>
        <w:t xml:space="preserve">18. Уведомление, указанное в </w:t>
      </w:r>
      <w:hyperlink w:anchor="P106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кадровым подразделением территориального </w:t>
      </w:r>
      <w:r>
        <w:lastRenderedPageBreak/>
        <w:t xml:space="preserve">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43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0" w:name="P114"/>
      <w:bookmarkEnd w:id="20"/>
      <w:r>
        <w:t xml:space="preserve">19. Уведомления, указанные в </w:t>
      </w:r>
      <w:hyperlink w:anchor="P103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7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E128FD" w:rsidRDefault="00E128FD">
      <w:pPr>
        <w:pStyle w:val="ConsPlusNormal"/>
        <w:jc w:val="both"/>
      </w:pPr>
      <w:r>
        <w:t xml:space="preserve">(п. 19 в ред. </w:t>
      </w:r>
      <w:hyperlink r:id="rId44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103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06">
        <w:r>
          <w:rPr>
            <w:color w:val="0000FF"/>
          </w:rPr>
          <w:t>подпунктах "д"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20.1. Мотивированные заключения, предусмотренные </w:t>
      </w:r>
      <w:hyperlink w:anchor="P109">
        <w:r>
          <w:rPr>
            <w:color w:val="0000FF"/>
          </w:rPr>
          <w:t>пунктами 16</w:t>
        </w:r>
      </w:hyperlink>
      <w:r>
        <w:t xml:space="preserve">, </w:t>
      </w:r>
      <w:hyperlink w:anchor="P113">
        <w:r>
          <w:rPr>
            <w:color w:val="0000FF"/>
          </w:rPr>
          <w:t>18</w:t>
        </w:r>
      </w:hyperlink>
      <w:r>
        <w:t xml:space="preserve"> и </w:t>
      </w:r>
      <w:hyperlink w:anchor="P114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9">
        <w:r>
          <w:rPr>
            <w:color w:val="0000FF"/>
          </w:rPr>
          <w:t>абзацах втором</w:t>
        </w:r>
      </w:hyperlink>
      <w:r>
        <w:t xml:space="preserve"> и </w:t>
      </w:r>
      <w:hyperlink w:anchor="P102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06">
        <w:r>
          <w:rPr>
            <w:color w:val="0000FF"/>
          </w:rPr>
          <w:t>подпунктах "д"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>
          <w:rPr>
            <w:color w:val="0000FF"/>
          </w:rPr>
          <w:t>абзацах втором</w:t>
        </w:r>
      </w:hyperlink>
      <w:r>
        <w:t xml:space="preserve"> и </w:t>
      </w:r>
      <w:hyperlink w:anchor="P103">
        <w:r>
          <w:rPr>
            <w:color w:val="0000FF"/>
          </w:rPr>
          <w:t xml:space="preserve">пятом </w:t>
        </w:r>
        <w:r>
          <w:rPr>
            <w:color w:val="0000FF"/>
          </w:rPr>
          <w:lastRenderedPageBreak/>
          <w:t>подпункта "б"</w:t>
        </w:r>
      </w:hyperlink>
      <w:r>
        <w:t xml:space="preserve">, </w:t>
      </w:r>
      <w:hyperlink w:anchor="P106">
        <w:r>
          <w:rPr>
            <w:color w:val="0000FF"/>
          </w:rPr>
          <w:t>подпунктах "д"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8">
        <w:r>
          <w:rPr>
            <w:color w:val="0000FF"/>
          </w:rPr>
          <w:t>пунктами 30</w:t>
        </w:r>
      </w:hyperlink>
      <w:r>
        <w:t xml:space="preserve">, </w:t>
      </w:r>
      <w:hyperlink w:anchor="P160">
        <w:r>
          <w:rPr>
            <w:color w:val="0000FF"/>
          </w:rPr>
          <w:t>33</w:t>
        </w:r>
      </w:hyperlink>
      <w:r>
        <w:t xml:space="preserve">, </w:t>
      </w:r>
      <w:hyperlink w:anchor="P169">
        <w:r>
          <w:rPr>
            <w:color w:val="0000FF"/>
          </w:rPr>
          <w:t>35</w:t>
        </w:r>
      </w:hyperlink>
      <w:r>
        <w:t xml:space="preserve">, </w:t>
      </w:r>
      <w:hyperlink w:anchor="P172">
        <w:r>
          <w:rPr>
            <w:color w:val="0000FF"/>
          </w:rPr>
          <w:t>35.1</w:t>
        </w:r>
      </w:hyperlink>
      <w:r>
        <w:t xml:space="preserve"> настоящего Положения или иного решения.</w:t>
      </w:r>
    </w:p>
    <w:p w:rsidR="00E128FD" w:rsidRDefault="00E128FD">
      <w:pPr>
        <w:pStyle w:val="ConsPlusNormal"/>
        <w:jc w:val="both"/>
      </w:pPr>
      <w:r>
        <w:t xml:space="preserve">(пп. "в" в ред. </w:t>
      </w:r>
      <w:hyperlink r:id="rId47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jc w:val="both"/>
      </w:pPr>
      <w:r>
        <w:t xml:space="preserve">(п. 20.1 введен </w:t>
      </w:r>
      <w:hyperlink r:id="rId48">
        <w:r>
          <w:rPr>
            <w:color w:val="0000FF"/>
          </w:rPr>
          <w:t>Приказом</w:t>
        </w:r>
      </w:hyperlink>
      <w:r>
        <w:t xml:space="preserve"> ФНС России от 20.03.2018 N ММВ-7-4/155@)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>
          <w:rPr>
            <w:color w:val="0000FF"/>
          </w:rPr>
          <w:t>пунктами 22</w:t>
        </w:r>
      </w:hyperlink>
      <w:r>
        <w:t xml:space="preserve"> и </w:t>
      </w:r>
      <w:hyperlink w:anchor="P130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8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1" w:name="P129"/>
      <w:bookmarkEnd w:id="21"/>
      <w:r>
        <w:t xml:space="preserve">22. Заседание Комиссии по рассмотрению заявлений, указанных в </w:t>
      </w:r>
      <w:hyperlink w:anchor="P10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2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2" w:name="P130"/>
      <w:bookmarkEnd w:id="22"/>
      <w:r>
        <w:t xml:space="preserve">23. Уведомления, указанные в </w:t>
      </w:r>
      <w:hyperlink w:anchor="P106">
        <w:r>
          <w:rPr>
            <w:color w:val="0000FF"/>
          </w:rPr>
          <w:t>подпунктах "д"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E128FD" w:rsidRDefault="00E128FD">
      <w:pPr>
        <w:pStyle w:val="ConsPlusNormal"/>
        <w:jc w:val="both"/>
      </w:pPr>
      <w:r>
        <w:t xml:space="preserve">(п. 23 в ред. </w:t>
      </w:r>
      <w:hyperlink r:id="rId49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</w:t>
      </w:r>
      <w:r>
        <w:lastRenderedPageBreak/>
        <w:t xml:space="preserve">заявлении или уведомлении, представляемых в соответствии с </w:t>
      </w:r>
      <w:hyperlink w:anchor="P98">
        <w:r>
          <w:rPr>
            <w:color w:val="0000FF"/>
          </w:rPr>
          <w:t>подпунктами "б"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25. Заседания Комиссии могут проводиться в отсутствие гражданского служащего или гражданина в случае: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8">
        <w:r>
          <w:rPr>
            <w:color w:val="0000FF"/>
          </w:rPr>
          <w:t>подпунктами "б"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3" w:name="P140"/>
      <w:bookmarkEnd w:id="23"/>
      <w:r>
        <w:t xml:space="preserve">28. По итогам рассмотрения вопроса, указанного в </w:t>
      </w:r>
      <w:hyperlink w:anchor="P96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52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53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</w:t>
      </w:r>
      <w:r>
        <w:lastRenderedPageBreak/>
        <w:t>налоговой службы конкретной меры ответственности).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29. По итогам рассмотрения вопроса, указанного в </w:t>
      </w:r>
      <w:hyperlink w:anchor="P97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4" w:name="P148"/>
      <w:bookmarkEnd w:id="24"/>
      <w:r>
        <w:t xml:space="preserve">30. По итогам рассмотрения вопроса, указанного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</w:t>
      </w:r>
      <w: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31. По итогам рассмотрения вопроса, указанного в </w:t>
      </w:r>
      <w:hyperlink w:anchor="P10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32. По итогам рассмотрения вопроса, указанного в </w:t>
      </w:r>
      <w:hyperlink w:anchor="P102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5" w:name="P160"/>
      <w:bookmarkEnd w:id="25"/>
      <w:r>
        <w:t xml:space="preserve">33. По итогам рассмотрения вопроса, указанного в </w:t>
      </w:r>
      <w:hyperlink w:anchor="P103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</w:t>
      </w:r>
      <w:r>
        <w:lastRenderedPageBreak/>
        <w:t>налоговой службы конкретной меры ответственности).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34. По итогам рассмотрения вопроса, указанного в </w:t>
      </w:r>
      <w:hyperlink w:anchor="P105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6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62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E128FD" w:rsidRDefault="00E128FD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6" w:name="P169"/>
      <w:bookmarkEnd w:id="26"/>
      <w:r>
        <w:t xml:space="preserve">35. По итогам рассмотрения вопроса, указанного в </w:t>
      </w:r>
      <w:hyperlink w:anchor="P106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>
        <w:lastRenderedPageBreak/>
        <w:t xml:space="preserve">выполнение в коммерческой или некоммерческой организации работ (оказание услуг) нарушают требования </w:t>
      </w:r>
      <w:hyperlink r:id="rId64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E128FD" w:rsidRDefault="00E128FD">
      <w:pPr>
        <w:pStyle w:val="ConsPlusNormal"/>
        <w:spacing w:before="280"/>
        <w:ind w:firstLine="540"/>
        <w:jc w:val="both"/>
      </w:pPr>
      <w:bookmarkStart w:id="27" w:name="P172"/>
      <w:bookmarkEnd w:id="27"/>
      <w:r>
        <w:t xml:space="preserve">35.1. По итогам рассмотрения вопроса, указанного в </w:t>
      </w:r>
      <w:hyperlink w:anchor="P107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128FD" w:rsidRDefault="00E128FD">
      <w:pPr>
        <w:pStyle w:val="ConsPlusNormal"/>
        <w:jc w:val="both"/>
      </w:pPr>
      <w:r>
        <w:t xml:space="preserve">(п. 35.1 введен </w:t>
      </w:r>
      <w:hyperlink r:id="rId65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36. По итогам рассмотрения вопросов, указанных в </w:t>
      </w:r>
      <w:hyperlink w:anchor="P95">
        <w:r>
          <w:rPr>
            <w:color w:val="0000FF"/>
          </w:rPr>
          <w:t>подпунктах "а"</w:t>
        </w:r>
      </w:hyperlink>
      <w:r>
        <w:t xml:space="preserve">, </w:t>
      </w:r>
      <w:hyperlink w:anchor="P98">
        <w:r>
          <w:rPr>
            <w:color w:val="0000FF"/>
          </w:rPr>
          <w:t>"б"</w:t>
        </w:r>
      </w:hyperlink>
      <w:r>
        <w:t xml:space="preserve">, </w:t>
      </w:r>
      <w:hyperlink w:anchor="P105">
        <w:r>
          <w:rPr>
            <w:color w:val="0000FF"/>
          </w:rPr>
          <w:t>"г"</w:t>
        </w:r>
      </w:hyperlink>
      <w:r>
        <w:t xml:space="preserve">, </w:t>
      </w:r>
      <w:hyperlink w:anchor="P106">
        <w:r>
          <w:rPr>
            <w:color w:val="0000FF"/>
          </w:rPr>
          <w:t>"д"</w:t>
        </w:r>
      </w:hyperlink>
      <w:r>
        <w:t xml:space="preserve"> и </w:t>
      </w:r>
      <w:hyperlink w:anchor="P107">
        <w:r>
          <w:rPr>
            <w:color w:val="0000FF"/>
          </w:rPr>
          <w:t>"е"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>
          <w:rPr>
            <w:color w:val="0000FF"/>
          </w:rPr>
          <w:t>пунктами 28</w:t>
        </w:r>
      </w:hyperlink>
      <w:r>
        <w:t xml:space="preserve"> - </w:t>
      </w:r>
      <w:hyperlink w:anchor="P172">
        <w:r>
          <w:rPr>
            <w:color w:val="0000FF"/>
          </w:rPr>
          <w:t>35.1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128FD" w:rsidRDefault="00E128FD">
      <w:pPr>
        <w:pStyle w:val="ConsPlusNormal"/>
        <w:jc w:val="both"/>
      </w:pPr>
      <w:r>
        <w:t xml:space="preserve">(п. 36 в ред. </w:t>
      </w:r>
      <w:hyperlink r:id="rId66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37. По итогам рассмотрения вопроса, предусмотренного </w:t>
      </w:r>
      <w:hyperlink w:anchor="P104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39. Решения Комиссии по вопросам, указанным в </w:t>
      </w:r>
      <w:hyperlink w:anchor="P94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lastRenderedPageBreak/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41. В протоколе заседания Комиссии указываются: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ж) другие сведения;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з) результаты голосования;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и) решение и обоснование его принятия.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43. Копии протокола заседания Комиссии в 7-дневный срок со дня </w:t>
      </w:r>
      <w:r>
        <w:lastRenderedPageBreak/>
        <w:t>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 xml:space="preserve">48. Выписка из решения Комиссии, заверенная подписью секретаря </w:t>
      </w:r>
      <w:r>
        <w:lastRenderedPageBreak/>
        <w:t xml:space="preserve">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128FD" w:rsidRDefault="00E128FD">
      <w:pPr>
        <w:pStyle w:val="ConsPlusNormal"/>
        <w:spacing w:before="280"/>
        <w:ind w:firstLine="540"/>
        <w:jc w:val="both"/>
      </w:pPr>
      <w: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jc w:val="both"/>
      </w:pPr>
    </w:p>
    <w:p w:rsidR="00E128FD" w:rsidRDefault="00E12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C52" w:rsidRDefault="009A3C52"/>
    <w:sectPr w:rsidR="009A3C52" w:rsidSect="00E5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FD"/>
    <w:rsid w:val="0070123A"/>
    <w:rsid w:val="009A3C52"/>
    <w:rsid w:val="00CF302F"/>
    <w:rsid w:val="00E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40A7F-A993-46DC-979B-008E1D7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8FD"/>
    <w:pPr>
      <w:widowControl w:val="0"/>
      <w:autoSpaceDE w:val="0"/>
      <w:autoSpaceDN w:val="0"/>
      <w:ind w:firstLine="0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E128FD"/>
    <w:pPr>
      <w:widowControl w:val="0"/>
      <w:autoSpaceDE w:val="0"/>
      <w:autoSpaceDN w:val="0"/>
      <w:ind w:firstLine="0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E128FD"/>
    <w:pPr>
      <w:widowControl w:val="0"/>
      <w:autoSpaceDE w:val="0"/>
      <w:autoSpaceDN w:val="0"/>
      <w:ind w:firstLine="0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2342&amp;dst=100011" TargetMode="External"/><Relationship Id="rId21" Type="http://schemas.openxmlformats.org/officeDocument/2006/relationships/hyperlink" Target="https://login.consultant.ru/link/?req=doc&amp;base=LAW&amp;n=482342&amp;dst=100007" TargetMode="External"/><Relationship Id="rId34" Type="http://schemas.openxmlformats.org/officeDocument/2006/relationships/hyperlink" Target="https://login.consultant.ru/link/?req=doc&amp;base=LAW&amp;n=523913&amp;dst=1" TargetMode="External"/><Relationship Id="rId42" Type="http://schemas.openxmlformats.org/officeDocument/2006/relationships/hyperlink" Target="https://login.consultant.ru/link/?req=doc&amp;base=LAW&amp;n=523306&amp;dst=28" TargetMode="External"/><Relationship Id="rId47" Type="http://schemas.openxmlformats.org/officeDocument/2006/relationships/hyperlink" Target="https://login.consultant.ru/link/?req=doc&amp;base=LAW&amp;n=482342&amp;dst=100018" TargetMode="External"/><Relationship Id="rId50" Type="http://schemas.openxmlformats.org/officeDocument/2006/relationships/hyperlink" Target="https://login.consultant.ru/link/?req=doc&amp;base=LAW&amp;n=482342&amp;dst=100022" TargetMode="External"/><Relationship Id="rId55" Type="http://schemas.openxmlformats.org/officeDocument/2006/relationships/hyperlink" Target="https://login.consultant.ru/link/?req=doc&amp;base=LAW&amp;n=482342&amp;dst=100023" TargetMode="External"/><Relationship Id="rId63" Type="http://schemas.openxmlformats.org/officeDocument/2006/relationships/hyperlink" Target="https://login.consultant.ru/link/?req=doc&amp;base=LAW&amp;n=482342&amp;dst=10002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8494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943&amp;dst=100034" TargetMode="External"/><Relationship Id="rId29" Type="http://schemas.openxmlformats.org/officeDocument/2006/relationships/hyperlink" Target="https://login.consultant.ru/link/?req=doc&amp;base=LAW&amp;n=528494&amp;dst=100011" TargetMode="External"/><Relationship Id="rId11" Type="http://schemas.openxmlformats.org/officeDocument/2006/relationships/hyperlink" Target="https://login.consultant.ru/link/?req=doc&amp;base=LAW&amp;n=506577&amp;dst=100111" TargetMode="External"/><Relationship Id="rId24" Type="http://schemas.openxmlformats.org/officeDocument/2006/relationships/hyperlink" Target="https://login.consultant.ru/link/?req=doc&amp;base=LAW&amp;n=509567&amp;dst=100053" TargetMode="External"/><Relationship Id="rId32" Type="http://schemas.openxmlformats.org/officeDocument/2006/relationships/hyperlink" Target="https://login.consultant.ru/link/?req=doc&amp;base=LAW&amp;n=528494&amp;dst=100019" TargetMode="External"/><Relationship Id="rId37" Type="http://schemas.openxmlformats.org/officeDocument/2006/relationships/hyperlink" Target="https://login.consultant.ru/link/?req=doc&amp;base=LAW&amp;n=523290" TargetMode="External"/><Relationship Id="rId40" Type="http://schemas.openxmlformats.org/officeDocument/2006/relationships/hyperlink" Target="https://login.consultant.ru/link/?req=doc&amp;base=LAW&amp;n=519026&amp;dst=1713" TargetMode="External"/><Relationship Id="rId45" Type="http://schemas.openxmlformats.org/officeDocument/2006/relationships/hyperlink" Target="https://login.consultant.ru/link/?req=doc&amp;base=LAW&amp;n=482342&amp;dst=100017" TargetMode="External"/><Relationship Id="rId53" Type="http://schemas.openxmlformats.org/officeDocument/2006/relationships/hyperlink" Target="https://login.consultant.ru/link/?req=doc&amp;base=LAW&amp;n=523913&amp;dst=1" TargetMode="External"/><Relationship Id="rId58" Type="http://schemas.openxmlformats.org/officeDocument/2006/relationships/hyperlink" Target="https://login.consultant.ru/link/?req=doc&amp;base=LAW&amp;n=523290" TargetMode="External"/><Relationship Id="rId66" Type="http://schemas.openxmlformats.org/officeDocument/2006/relationships/hyperlink" Target="https://login.consultant.ru/link/?req=doc&amp;base=LAW&amp;n=482342&amp;dst=100028" TargetMode="External"/><Relationship Id="rId5" Type="http://schemas.openxmlformats.org/officeDocument/2006/relationships/hyperlink" Target="https://login.consultant.ru/link/?req=doc&amp;base=LAW&amp;n=437038&amp;dst=100007" TargetMode="External"/><Relationship Id="rId61" Type="http://schemas.openxmlformats.org/officeDocument/2006/relationships/hyperlink" Target="https://login.consultant.ru/link/?req=doc&amp;base=LAW&amp;n=523305&amp;dst=100128" TargetMode="External"/><Relationship Id="rId19" Type="http://schemas.openxmlformats.org/officeDocument/2006/relationships/hyperlink" Target="https://login.consultant.ru/link/?req=doc&amp;base=LAW&amp;n=295468&amp;dst=100007" TargetMode="External"/><Relationship Id="rId14" Type="http://schemas.openxmlformats.org/officeDocument/2006/relationships/hyperlink" Target="https://login.consultant.ru/link/?req=doc&amp;base=LAW&amp;n=523937&amp;dst=100226" TargetMode="External"/><Relationship Id="rId22" Type="http://schemas.openxmlformats.org/officeDocument/2006/relationships/hyperlink" Target="https://login.consultant.ru/link/?req=doc&amp;base=LAW&amp;n=528494&amp;dst=100007" TargetMode="External"/><Relationship Id="rId27" Type="http://schemas.openxmlformats.org/officeDocument/2006/relationships/hyperlink" Target="https://login.consultant.ru/link/?req=doc&amp;base=LAW&amp;n=437038&amp;dst=100009" TargetMode="External"/><Relationship Id="rId30" Type="http://schemas.openxmlformats.org/officeDocument/2006/relationships/hyperlink" Target="https://login.consultant.ru/link/?req=doc&amp;base=LAW&amp;n=528494&amp;dst=100015" TargetMode="External"/><Relationship Id="rId35" Type="http://schemas.openxmlformats.org/officeDocument/2006/relationships/hyperlink" Target="https://login.consultant.ru/link/?req=doc&amp;base=LAW&amp;n=281075&amp;dst=100013" TargetMode="External"/><Relationship Id="rId43" Type="http://schemas.openxmlformats.org/officeDocument/2006/relationships/hyperlink" Target="https://login.consultant.ru/link/?req=doc&amp;base=LAW&amp;n=523306&amp;dst=28" TargetMode="External"/><Relationship Id="rId48" Type="http://schemas.openxmlformats.org/officeDocument/2006/relationships/hyperlink" Target="https://login.consultant.ru/link/?req=doc&amp;base=LAW&amp;n=295468&amp;dst=100007" TargetMode="External"/><Relationship Id="rId56" Type="http://schemas.openxmlformats.org/officeDocument/2006/relationships/hyperlink" Target="https://login.consultant.ru/link/?req=doc&amp;base=LAW&amp;n=482342&amp;dst=100023" TargetMode="External"/><Relationship Id="rId64" Type="http://schemas.openxmlformats.org/officeDocument/2006/relationships/hyperlink" Target="https://login.consultant.ru/link/?req=doc&amp;base=LAW&amp;n=523306&amp;dst=28" TargetMode="External"/><Relationship Id="rId8" Type="http://schemas.openxmlformats.org/officeDocument/2006/relationships/hyperlink" Target="https://login.consultant.ru/link/?req=doc&amp;base=LAW&amp;n=523293&amp;dst=42" TargetMode="External"/><Relationship Id="rId51" Type="http://schemas.openxmlformats.org/officeDocument/2006/relationships/hyperlink" Target="https://login.consultant.ru/link/?req=doc&amp;base=LAW&amp;n=482342&amp;dst=100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913&amp;dst=100149" TargetMode="External"/><Relationship Id="rId17" Type="http://schemas.openxmlformats.org/officeDocument/2006/relationships/hyperlink" Target="https://login.consultant.ru/link/?req=doc&amp;base=LAW&amp;n=482303&amp;dst=100086" TargetMode="External"/><Relationship Id="rId25" Type="http://schemas.openxmlformats.org/officeDocument/2006/relationships/hyperlink" Target="https://login.consultant.ru/link/?req=doc&amp;base=LAW&amp;n=523306" TargetMode="External"/><Relationship Id="rId33" Type="http://schemas.openxmlformats.org/officeDocument/2006/relationships/hyperlink" Target="https://login.consultant.ru/link/?req=doc&amp;base=LAW&amp;n=523913&amp;dst=100149" TargetMode="External"/><Relationship Id="rId38" Type="http://schemas.openxmlformats.org/officeDocument/2006/relationships/hyperlink" Target="https://login.consultant.ru/link/?req=doc&amp;base=LAW&amp;n=523305&amp;dst=100128" TargetMode="External"/><Relationship Id="rId46" Type="http://schemas.openxmlformats.org/officeDocument/2006/relationships/hyperlink" Target="https://login.consultant.ru/link/?req=doc&amp;base=LAW&amp;n=482342&amp;dst=100017" TargetMode="External"/><Relationship Id="rId59" Type="http://schemas.openxmlformats.org/officeDocument/2006/relationships/hyperlink" Target="https://login.consultant.ru/link/?req=doc&amp;base=LAW&amp;n=482342&amp;dst=10002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37038&amp;dst=100007" TargetMode="External"/><Relationship Id="rId41" Type="http://schemas.openxmlformats.org/officeDocument/2006/relationships/hyperlink" Target="https://login.consultant.ru/link/?req=doc&amp;base=LAW&amp;n=482342&amp;dst=100013" TargetMode="External"/><Relationship Id="rId54" Type="http://schemas.openxmlformats.org/officeDocument/2006/relationships/hyperlink" Target="https://login.consultant.ru/link/?req=doc&amp;base=LAW&amp;n=482342&amp;dst=100023" TargetMode="External"/><Relationship Id="rId62" Type="http://schemas.openxmlformats.org/officeDocument/2006/relationships/hyperlink" Target="https://login.consultant.ru/link/?req=doc&amp;base=LAW&amp;n=523305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342&amp;dst=100007" TargetMode="External"/><Relationship Id="rId15" Type="http://schemas.openxmlformats.org/officeDocument/2006/relationships/hyperlink" Target="https://login.consultant.ru/link/?req=doc&amp;base=LAW&amp;n=523907&amp;dst=100008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437038&amp;dst=100013" TargetMode="External"/><Relationship Id="rId36" Type="http://schemas.openxmlformats.org/officeDocument/2006/relationships/hyperlink" Target="https://login.consultant.ru/link/?req=doc&amp;base=LAW&amp;n=437038&amp;dst=100015" TargetMode="External"/><Relationship Id="rId49" Type="http://schemas.openxmlformats.org/officeDocument/2006/relationships/hyperlink" Target="https://login.consultant.ru/link/?req=doc&amp;base=LAW&amp;n=482342&amp;dst=100020" TargetMode="External"/><Relationship Id="rId57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3305&amp;dst=100095" TargetMode="External"/><Relationship Id="rId31" Type="http://schemas.openxmlformats.org/officeDocument/2006/relationships/hyperlink" Target="https://login.consultant.ru/link/?req=doc&amp;base=LAW&amp;n=528494&amp;dst=100017" TargetMode="External"/><Relationship Id="rId44" Type="http://schemas.openxmlformats.org/officeDocument/2006/relationships/hyperlink" Target="https://login.consultant.ru/link/?req=doc&amp;base=LAW&amp;n=482342&amp;dst=100015" TargetMode="External"/><Relationship Id="rId52" Type="http://schemas.openxmlformats.org/officeDocument/2006/relationships/hyperlink" Target="https://login.consultant.ru/link/?req=doc&amp;base=LAW&amp;n=523913&amp;dst=1" TargetMode="External"/><Relationship Id="rId60" Type="http://schemas.openxmlformats.org/officeDocument/2006/relationships/hyperlink" Target="https://login.consultant.ru/link/?req=doc&amp;base=LAW&amp;n=482342&amp;dst=100023" TargetMode="External"/><Relationship Id="rId65" Type="http://schemas.openxmlformats.org/officeDocument/2006/relationships/hyperlink" Target="https://login.consultant.ru/link/?req=doc&amp;base=LAW&amp;n=482342&amp;dst=100024" TargetMode="External"/><Relationship Id="rId4" Type="http://schemas.openxmlformats.org/officeDocument/2006/relationships/hyperlink" Target="https://login.consultant.ru/link/?req=doc&amp;base=LAW&amp;n=295468&amp;dst=100007" TargetMode="External"/><Relationship Id="rId9" Type="http://schemas.openxmlformats.org/officeDocument/2006/relationships/hyperlink" Target="https://login.consultant.ru/link/?req=doc&amp;base=LAW&amp;n=523306&amp;dst=30" TargetMode="External"/><Relationship Id="rId13" Type="http://schemas.openxmlformats.org/officeDocument/2006/relationships/hyperlink" Target="https://login.consultant.ru/link/?req=doc&amp;base=LAW&amp;n=509567&amp;dst=100042" TargetMode="External"/><Relationship Id="rId18" Type="http://schemas.openxmlformats.org/officeDocument/2006/relationships/hyperlink" Target="https://login.consultant.ru/link/?req=doc&amp;base=LAW&amp;n=188840" TargetMode="External"/><Relationship Id="rId39" Type="http://schemas.openxmlformats.org/officeDocument/2006/relationships/hyperlink" Target="https://login.consultant.ru/link/?req=doc&amp;base=LAW&amp;n=523306&amp;dst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8107</Words>
  <Characters>46212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Филичев Алексей Александрович</dc:creator>
  <cp:keywords/>
  <dc:description/>
  <cp:lastModifiedBy>Кучеренко Ольга Борисовна</cp:lastModifiedBy>
  <cp:revision>2</cp:revision>
  <dcterms:created xsi:type="dcterms:W3CDTF">2026-04-24T07:05:00Z</dcterms:created>
  <dcterms:modified xsi:type="dcterms:W3CDTF">2026-04-24T07:05:00Z</dcterms:modified>
</cp:coreProperties>
</file>